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142875</wp:posOffset>
            </wp:positionV>
            <wp:extent cx="289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360" w:type="dxa"/>
            <w:vAlign w:val="bottom"/>
            <w:gridSpan w:val="5"/>
          </w:tcPr>
          <w:p>
            <w:pPr>
              <w:jc w:val="center"/>
              <w:ind w:right="1560"/>
              <w:spacing w:after="0"/>
              <w:rPr>
                <w:sz w:val="20"/>
                <w:szCs w:val="20"/>
                <w:color w:val="auto"/>
              </w:rPr>
            </w:pPr>
            <w:r>
              <w:rPr>
                <w:rFonts w:ascii="Arial" w:cs="Arial" w:eastAsia="Arial" w:hAnsi="Arial"/>
                <w:sz w:val="18"/>
                <w:szCs w:val="18"/>
                <w:b w:val="1"/>
                <w:bCs w:val="1"/>
                <w:color w:val="auto"/>
              </w:rPr>
              <w:t>FORM 8-K</w:t>
            </w:r>
          </w:p>
        </w:tc>
        <w:tc>
          <w:tcPr>
            <w:tcW w:w="3240" w:type="dxa"/>
            <w:vAlign w:val="bottom"/>
          </w:tcPr>
          <w:p>
            <w:pPr>
              <w:spacing w:after="0"/>
              <w:rPr>
                <w:sz w:val="20"/>
                <w:szCs w:val="20"/>
                <w:color w:val="auto"/>
              </w:rPr>
            </w:pPr>
          </w:p>
        </w:tc>
      </w:tr>
      <w:tr>
        <w:trPr>
          <w:trHeight w:val="522"/>
        </w:trPr>
        <w:tc>
          <w:tcPr>
            <w:tcW w:w="3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360" w:type="dxa"/>
            <w:vAlign w:val="bottom"/>
            <w:gridSpan w:val="5"/>
          </w:tcPr>
          <w:p>
            <w:pPr>
              <w:jc w:val="center"/>
              <w:ind w:right="1560"/>
              <w:spacing w:after="0"/>
              <w:rPr>
                <w:sz w:val="20"/>
                <w:szCs w:val="20"/>
                <w:color w:val="auto"/>
              </w:rPr>
            </w:pPr>
            <w:r>
              <w:rPr>
                <w:rFonts w:ascii="Arial" w:cs="Arial" w:eastAsia="Arial" w:hAnsi="Arial"/>
                <w:sz w:val="18"/>
                <w:szCs w:val="18"/>
                <w:b w:val="1"/>
                <w:bCs w:val="1"/>
                <w:color w:val="auto"/>
                <w:w w:val="99"/>
              </w:rPr>
              <w:t>CURRENT REPORT</w:t>
            </w:r>
          </w:p>
        </w:tc>
        <w:tc>
          <w:tcPr>
            <w:tcW w:w="3240" w:type="dxa"/>
            <w:vAlign w:val="bottom"/>
          </w:tcPr>
          <w:p>
            <w:pPr>
              <w:spacing w:after="0"/>
              <w:rPr>
                <w:sz w:val="24"/>
                <w:szCs w:val="24"/>
                <w:color w:val="auto"/>
              </w:rPr>
            </w:pPr>
          </w:p>
        </w:tc>
      </w:tr>
      <w:tr>
        <w:trPr>
          <w:trHeight w:val="216"/>
        </w:trPr>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80" w:type="dxa"/>
            <w:vAlign w:val="bottom"/>
            <w:gridSpan w:val="6"/>
          </w:tcPr>
          <w:p>
            <w:pPr>
              <w:jc w:val="center"/>
              <w:ind w:right="660"/>
              <w:spacing w:after="0"/>
              <w:rPr>
                <w:sz w:val="20"/>
                <w:szCs w:val="20"/>
                <w:color w:val="auto"/>
              </w:rPr>
            </w:pPr>
            <w:r>
              <w:rPr>
                <w:rFonts w:ascii="Arial" w:cs="Arial" w:eastAsia="Arial" w:hAnsi="Arial"/>
                <w:sz w:val="18"/>
                <w:szCs w:val="18"/>
                <w:b w:val="1"/>
                <w:bCs w:val="1"/>
                <w:color w:val="auto"/>
                <w:w w:val="97"/>
              </w:rPr>
              <w:t>PURSUANT TO SECTION 13 OR 15(d) OF</w:t>
            </w:r>
          </w:p>
        </w:tc>
        <w:tc>
          <w:tcPr>
            <w:tcW w:w="3240" w:type="dxa"/>
            <w:vAlign w:val="bottom"/>
          </w:tcPr>
          <w:p>
            <w:pPr>
              <w:spacing w:after="0"/>
              <w:rPr>
                <w:sz w:val="18"/>
                <w:szCs w:val="18"/>
                <w:color w:val="auto"/>
              </w:rPr>
            </w:pPr>
          </w:p>
        </w:tc>
      </w:tr>
      <w:tr>
        <w:trPr>
          <w:trHeight w:val="234"/>
        </w:trPr>
        <w:tc>
          <w:tcPr>
            <w:tcW w:w="3780" w:type="dxa"/>
            <w:vAlign w:val="bottom"/>
          </w:tcPr>
          <w:p>
            <w:pPr>
              <w:spacing w:after="0"/>
              <w:rPr>
                <w:sz w:val="20"/>
                <w:szCs w:val="20"/>
                <w:color w:val="auto"/>
              </w:rPr>
            </w:pPr>
          </w:p>
        </w:tc>
        <w:tc>
          <w:tcPr>
            <w:tcW w:w="4400" w:type="dxa"/>
            <w:vAlign w:val="bottom"/>
            <w:gridSpan w:val="7"/>
          </w:tcPr>
          <w:p>
            <w:pPr>
              <w:jc w:val="center"/>
              <w:ind w:right="520"/>
              <w:spacing w:after="0"/>
              <w:rPr>
                <w:sz w:val="20"/>
                <w:szCs w:val="20"/>
                <w:color w:val="auto"/>
              </w:rPr>
            </w:pPr>
            <w:r>
              <w:rPr>
                <w:rFonts w:ascii="Arial" w:cs="Arial" w:eastAsia="Arial" w:hAnsi="Arial"/>
                <w:sz w:val="18"/>
                <w:szCs w:val="18"/>
                <w:b w:val="1"/>
                <w:bCs w:val="1"/>
                <w:color w:val="auto"/>
                <w:w w:val="99"/>
              </w:rPr>
              <w:t>THE SECURITIES EXCHANGE ACT OF 1934</w:t>
            </w:r>
          </w:p>
        </w:tc>
        <w:tc>
          <w:tcPr>
            <w:tcW w:w="3240" w:type="dxa"/>
            <w:vAlign w:val="bottom"/>
          </w:tcPr>
          <w:p>
            <w:pPr>
              <w:spacing w:after="0"/>
              <w:rPr>
                <w:sz w:val="20"/>
                <w:szCs w:val="20"/>
                <w:color w:val="auto"/>
              </w:rPr>
            </w:pPr>
          </w:p>
        </w:tc>
      </w:tr>
      <w:tr>
        <w:trPr>
          <w:trHeight w:val="432"/>
        </w:trPr>
        <w:tc>
          <w:tcPr>
            <w:tcW w:w="8180" w:type="dxa"/>
            <w:vAlign w:val="bottom"/>
            <w:gridSpan w:val="8"/>
          </w:tcPr>
          <w:p>
            <w:pPr>
              <w:jc w:val="center"/>
              <w:ind w:left="3150"/>
              <w:spacing w:after="0"/>
              <w:rPr>
                <w:sz w:val="20"/>
                <w:szCs w:val="20"/>
                <w:color w:val="auto"/>
              </w:rPr>
            </w:pPr>
            <w:r>
              <w:rPr>
                <w:rFonts w:ascii="Arial" w:cs="Arial" w:eastAsia="Arial" w:hAnsi="Arial"/>
                <w:sz w:val="18"/>
                <w:szCs w:val="18"/>
                <w:color w:val="auto"/>
                <w:w w:val="90"/>
              </w:rPr>
              <w:t>Date of Report (Date of earliest event reported): November 2, 2017</w:t>
            </w:r>
          </w:p>
        </w:tc>
        <w:tc>
          <w:tcPr>
            <w:tcW w:w="3240" w:type="dxa"/>
            <w:vAlign w:val="bottom"/>
          </w:tcPr>
          <w:p>
            <w:pPr>
              <w:spacing w:after="0"/>
              <w:rPr>
                <w:sz w:val="24"/>
                <w:szCs w:val="24"/>
                <w:color w:val="auto"/>
              </w:rPr>
            </w:pPr>
          </w:p>
        </w:tc>
      </w:tr>
      <w:tr>
        <w:trPr>
          <w:trHeight w:val="392"/>
        </w:trPr>
        <w:tc>
          <w:tcPr>
            <w:tcW w:w="3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OptimizeRx Corporation</w:t>
            </w:r>
          </w:p>
        </w:tc>
        <w:tc>
          <w:tcPr>
            <w:tcW w:w="1560" w:type="dxa"/>
            <w:vAlign w:val="bottom"/>
            <w:gridSpan w:val="4"/>
          </w:tcPr>
          <w:p>
            <w:pPr>
              <w:spacing w:after="0"/>
              <w:rPr>
                <w:sz w:val="24"/>
                <w:szCs w:val="24"/>
                <w:color w:val="auto"/>
              </w:rPr>
            </w:pPr>
          </w:p>
        </w:tc>
        <w:tc>
          <w:tcPr>
            <w:tcW w:w="3240" w:type="dxa"/>
            <w:vAlign w:val="bottom"/>
          </w:tcPr>
          <w:p>
            <w:pPr>
              <w:spacing w:after="0"/>
              <w:rPr>
                <w:sz w:val="24"/>
                <w:szCs w:val="24"/>
                <w:color w:val="auto"/>
              </w:rPr>
            </w:pPr>
          </w:p>
        </w:tc>
      </w:tr>
      <w:tr>
        <w:trPr>
          <w:trHeight w:val="237"/>
        </w:trPr>
        <w:tc>
          <w:tcPr>
            <w:tcW w:w="3780" w:type="dxa"/>
            <w:vAlign w:val="bottom"/>
          </w:tcPr>
          <w:p>
            <w:pPr>
              <w:spacing w:after="0"/>
              <w:rPr>
                <w:sz w:val="20"/>
                <w:szCs w:val="20"/>
                <w:color w:val="auto"/>
              </w:rPr>
            </w:pPr>
          </w:p>
        </w:tc>
        <w:tc>
          <w:tcPr>
            <w:tcW w:w="4400" w:type="dxa"/>
            <w:vAlign w:val="bottom"/>
            <w:gridSpan w:val="7"/>
          </w:tcPr>
          <w:p>
            <w:pPr>
              <w:jc w:val="center"/>
              <w:ind w:right="520"/>
              <w:spacing w:after="0"/>
              <w:rPr>
                <w:sz w:val="20"/>
                <w:szCs w:val="20"/>
                <w:color w:val="auto"/>
              </w:rPr>
            </w:pPr>
            <w:r>
              <w:rPr>
                <w:rFonts w:ascii="Arial" w:cs="Arial" w:eastAsia="Arial" w:hAnsi="Arial"/>
                <w:sz w:val="18"/>
                <w:szCs w:val="18"/>
                <w:color w:val="auto"/>
                <w:w w:val="90"/>
              </w:rPr>
              <w:t>(Exact name of registrant as specified in its charter)</w:t>
            </w:r>
          </w:p>
        </w:tc>
        <w:tc>
          <w:tcPr>
            <w:tcW w:w="3240" w:type="dxa"/>
            <w:vAlign w:val="bottom"/>
          </w:tcPr>
          <w:p>
            <w:pPr>
              <w:spacing w:after="0"/>
              <w:rPr>
                <w:sz w:val="20"/>
                <w:szCs w:val="20"/>
                <w:color w:val="auto"/>
              </w:rPr>
            </w:pPr>
          </w:p>
        </w:tc>
      </w:tr>
      <w:tr>
        <w:trPr>
          <w:trHeight w:val="439"/>
        </w:trPr>
        <w:tc>
          <w:tcPr>
            <w:tcW w:w="3780" w:type="dxa"/>
            <w:vAlign w:val="bottom"/>
          </w:tcPr>
          <w:p>
            <w:pPr>
              <w:jc w:val="center"/>
              <w:spacing w:after="0"/>
              <w:rPr>
                <w:sz w:val="20"/>
                <w:szCs w:val="20"/>
                <w:color w:val="auto"/>
              </w:rPr>
            </w:pPr>
            <w:r>
              <w:rPr>
                <w:rFonts w:ascii="Arial" w:cs="Arial" w:eastAsia="Arial" w:hAnsi="Arial"/>
                <w:sz w:val="18"/>
                <w:szCs w:val="18"/>
                <w:color w:val="auto"/>
                <w:w w:val="86"/>
              </w:rPr>
              <w:t>Nevada</w:t>
            </w:r>
          </w:p>
        </w:tc>
        <w:tc>
          <w:tcPr>
            <w:tcW w:w="2840" w:type="dxa"/>
            <w:vAlign w:val="bottom"/>
            <w:gridSpan w:val="3"/>
          </w:tcPr>
          <w:p>
            <w:pPr>
              <w:jc w:val="center"/>
              <w:ind w:left="970"/>
              <w:spacing w:after="0"/>
              <w:rPr>
                <w:sz w:val="20"/>
                <w:szCs w:val="20"/>
                <w:color w:val="auto"/>
              </w:rPr>
            </w:pPr>
            <w:r>
              <w:rPr>
                <w:rFonts w:ascii="Arial" w:cs="Arial" w:eastAsia="Arial" w:hAnsi="Arial"/>
                <w:sz w:val="18"/>
                <w:szCs w:val="18"/>
                <w:color w:val="auto"/>
                <w:w w:val="90"/>
              </w:rPr>
              <w:t>000-53605</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40" w:type="dxa"/>
            <w:vAlign w:val="bottom"/>
          </w:tcPr>
          <w:p>
            <w:pPr>
              <w:jc w:val="right"/>
              <w:ind w:right="1350"/>
              <w:spacing w:after="0"/>
              <w:rPr>
                <w:sz w:val="20"/>
                <w:szCs w:val="20"/>
                <w:color w:val="auto"/>
              </w:rPr>
            </w:pPr>
            <w:r>
              <w:rPr>
                <w:rFonts w:ascii="Arial" w:cs="Arial" w:eastAsia="Arial" w:hAnsi="Arial"/>
                <w:sz w:val="18"/>
                <w:szCs w:val="18"/>
                <w:color w:val="auto"/>
              </w:rPr>
              <w:t>26-1265381</w:t>
            </w:r>
          </w:p>
        </w:tc>
      </w:tr>
      <w:tr>
        <w:trPr>
          <w:trHeight w:val="230"/>
        </w:trPr>
        <w:tc>
          <w:tcPr>
            <w:tcW w:w="37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120" w:type="dxa"/>
            <w:vAlign w:val="bottom"/>
          </w:tcPr>
          <w:p>
            <w:pPr>
              <w:spacing w:after="0"/>
              <w:rPr>
                <w:sz w:val="20"/>
                <w:szCs w:val="20"/>
                <w:color w:val="auto"/>
              </w:rPr>
            </w:pPr>
          </w:p>
        </w:tc>
        <w:tc>
          <w:tcPr>
            <w:tcW w:w="3660" w:type="dxa"/>
            <w:vAlign w:val="bottom"/>
            <w:tcBorders>
              <w:top w:val="single" w:sz="8" w:color="auto"/>
            </w:tcBorders>
            <w:gridSpan w:val="4"/>
          </w:tcPr>
          <w:p>
            <w:pPr>
              <w:jc w:val="center"/>
              <w:spacing w:after="0"/>
              <w:rPr>
                <w:sz w:val="20"/>
                <w:szCs w:val="20"/>
                <w:color w:val="auto"/>
              </w:rPr>
            </w:pPr>
            <w:r>
              <w:rPr>
                <w:rFonts w:ascii="Arial" w:cs="Arial" w:eastAsia="Arial" w:hAnsi="Arial"/>
                <w:sz w:val="18"/>
                <w:szCs w:val="18"/>
                <w:color w:val="auto"/>
                <w:w w:val="92"/>
              </w:rPr>
              <w:t>(Commission File Number)</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3240" w:type="dxa"/>
            <w:vAlign w:val="bottom"/>
            <w:tcBorders>
              <w:top w:val="single" w:sz="8" w:color="auto"/>
            </w:tcBorders>
          </w:tcPr>
          <w:p>
            <w:pPr>
              <w:jc w:val="center"/>
              <w:ind w:right="410"/>
              <w:spacing w:after="0"/>
              <w:rPr>
                <w:sz w:val="20"/>
                <w:szCs w:val="20"/>
                <w:color w:val="auto"/>
              </w:rPr>
            </w:pPr>
            <w:r>
              <w:rPr>
                <w:rFonts w:ascii="Arial" w:cs="Arial" w:eastAsia="Arial" w:hAnsi="Arial"/>
                <w:sz w:val="18"/>
                <w:szCs w:val="18"/>
                <w:color w:val="auto"/>
                <w:w w:val="94"/>
              </w:rPr>
              <w:t>(I.R.S. Employer Identification No.)</w:t>
            </w:r>
          </w:p>
        </w:tc>
      </w:tr>
      <w:tr>
        <w:trPr>
          <w:trHeight w:val="425"/>
        </w:trPr>
        <w:tc>
          <w:tcPr>
            <w:tcW w:w="8180" w:type="dxa"/>
            <w:vAlign w:val="bottom"/>
            <w:gridSpan w:val="8"/>
          </w:tcPr>
          <w:p>
            <w:pPr>
              <w:jc w:val="center"/>
              <w:ind w:right="640"/>
              <w:spacing w:after="0"/>
              <w:rPr>
                <w:sz w:val="20"/>
                <w:szCs w:val="20"/>
                <w:color w:val="auto"/>
              </w:rPr>
            </w:pPr>
            <w:r>
              <w:rPr>
                <w:rFonts w:ascii="Arial" w:cs="Arial" w:eastAsia="Arial" w:hAnsi="Arial"/>
                <w:sz w:val="18"/>
                <w:szCs w:val="18"/>
                <w:color w:val="auto"/>
                <w:w w:val="90"/>
              </w:rPr>
              <w:t>400 Water Street, Suite 200, Rochester, MI</w:t>
            </w:r>
          </w:p>
        </w:tc>
        <w:tc>
          <w:tcPr>
            <w:tcW w:w="3240" w:type="dxa"/>
            <w:vAlign w:val="bottom"/>
          </w:tcPr>
          <w:p>
            <w:pPr>
              <w:jc w:val="right"/>
              <w:ind w:right="1570"/>
              <w:spacing w:after="0"/>
              <w:rPr>
                <w:sz w:val="20"/>
                <w:szCs w:val="20"/>
                <w:color w:val="auto"/>
              </w:rPr>
            </w:pPr>
            <w:r>
              <w:rPr>
                <w:rFonts w:ascii="Arial" w:cs="Arial" w:eastAsia="Arial" w:hAnsi="Arial"/>
                <w:sz w:val="18"/>
                <w:szCs w:val="18"/>
                <w:color w:val="auto"/>
              </w:rPr>
              <w:t>48307</w:t>
            </w:r>
          </w:p>
        </w:tc>
      </w:tr>
      <w:tr>
        <w:trPr>
          <w:trHeight w:val="230"/>
        </w:trPr>
        <w:tc>
          <w:tcPr>
            <w:tcW w:w="7540" w:type="dxa"/>
            <w:vAlign w:val="bottom"/>
            <w:tcBorders>
              <w:top w:val="single" w:sz="8" w:color="auto"/>
            </w:tcBorders>
            <w:gridSpan w:val="5"/>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20" w:type="dxa"/>
            <w:vAlign w:val="bottom"/>
            <w:gridSpan w:val="2"/>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3240" w:type="dxa"/>
            <w:vAlign w:val="bottom"/>
            <w:tcBorders>
              <w:top w:val="single" w:sz="8" w:color="auto"/>
            </w:tcBorders>
          </w:tcPr>
          <w:p>
            <w:pPr>
              <w:jc w:val="center"/>
              <w:ind w:right="43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2200275</wp:posOffset>
            </wp:positionH>
            <wp:positionV relativeFrom="paragraph">
              <wp:posOffset>323850</wp:posOffset>
            </wp:positionV>
            <wp:extent cx="28555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60" w:hanging="455"/>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560" w:hanging="455"/>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60" w:hanging="455"/>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560" w:hanging="455"/>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w:t>
      </w: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7000" w:type="dxa"/>
            <w:vAlign w:val="bottom"/>
          </w:tcPr>
          <w:p>
            <w:pPr>
              <w:jc w:val="right"/>
              <w:ind w:right="30"/>
              <w:spacing w:after="0"/>
              <w:rPr>
                <w:sz w:val="20"/>
                <w:szCs w:val="20"/>
                <w:color w:val="auto"/>
              </w:rPr>
            </w:pPr>
            <w:r>
              <w:rPr>
                <w:rFonts w:ascii="Arial" w:cs="Arial" w:eastAsia="Arial" w:hAnsi="Arial"/>
                <w:sz w:val="18"/>
                <w:szCs w:val="18"/>
                <w:color w:val="auto"/>
                <w:w w:val="90"/>
              </w:rPr>
              <w:t>revised financial accounting standards provided pursuant to Section 13(a) of the Exchange Act.</w:t>
            </w:r>
          </w:p>
        </w:tc>
        <w:tc>
          <w:tcPr>
            <w:tcW w:w="442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r>
      <w:tr>
        <w:trPr>
          <w:trHeight w:val="215"/>
        </w:trPr>
        <w:tc>
          <w:tcPr>
            <w:tcW w:w="7000" w:type="dxa"/>
            <w:vAlign w:val="bottom"/>
            <w:tcBorders>
              <w:bottom w:val="single" w:sz="8" w:color="auto"/>
            </w:tcBorders>
          </w:tcPr>
          <w:p>
            <w:pPr>
              <w:spacing w:after="0"/>
              <w:rPr>
                <w:sz w:val="18"/>
                <w:szCs w:val="18"/>
                <w:color w:val="auto"/>
              </w:rPr>
            </w:pPr>
          </w:p>
        </w:tc>
        <w:tc>
          <w:tcPr>
            <w:tcW w:w="4420" w:type="dxa"/>
            <w:vAlign w:val="bottom"/>
            <w:tcBorders>
              <w:bottom w:val="single" w:sz="8" w:color="auto"/>
            </w:tcBorders>
          </w:tcPr>
          <w:p>
            <w:pPr>
              <w:spacing w:after="0"/>
              <w:rPr>
                <w:sz w:val="18"/>
                <w:szCs w:val="18"/>
                <w:color w:val="auto"/>
              </w:rPr>
            </w:pPr>
          </w:p>
        </w:tc>
      </w:tr>
      <w:tr>
        <w:trPr>
          <w:trHeight w:val="20"/>
        </w:trPr>
        <w:tc>
          <w:tcPr>
            <w:tcW w:w="7000" w:type="dxa"/>
            <w:vAlign w:val="bottom"/>
            <w:tcBorders>
              <w:bottom w:val="single" w:sz="8" w:color="auto"/>
            </w:tcBorders>
          </w:tcPr>
          <w:p>
            <w:pPr>
              <w:spacing w:after="0" w:line="20" w:lineRule="exact"/>
              <w:rPr>
                <w:sz w:val="1"/>
                <w:szCs w:val="1"/>
                <w:color w:val="auto"/>
              </w:rPr>
            </w:pPr>
          </w:p>
        </w:tc>
        <w:tc>
          <w:tcPr>
            <w:tcW w:w="4420" w:type="dxa"/>
            <w:vAlign w:val="bottom"/>
            <w:tcBorders>
              <w:bottom w:val="single" w:sz="8" w:color="auto"/>
            </w:tcBorders>
          </w:tcPr>
          <w:p>
            <w:pPr>
              <w:spacing w:after="0" w:line="20" w:lineRule="exact"/>
              <w:rPr>
                <w:sz w:val="1"/>
                <w:szCs w:val="1"/>
                <w:color w:val="auto"/>
              </w:rPr>
            </w:pPr>
          </w:p>
        </w:tc>
      </w:tr>
      <w:tr>
        <w:trPr>
          <w:trHeight w:val="318"/>
        </w:trPr>
        <w:tc>
          <w:tcPr>
            <w:tcW w:w="7000" w:type="dxa"/>
            <w:vAlign w:val="bottom"/>
            <w:tcBorders>
              <w:bottom w:val="single" w:sz="8" w:color="auto"/>
            </w:tcBorders>
          </w:tcPr>
          <w:p>
            <w:pPr>
              <w:jc w:val="right"/>
              <w:ind w:right="1150"/>
              <w:spacing w:after="0"/>
              <w:rPr>
                <w:sz w:val="20"/>
                <w:szCs w:val="20"/>
                <w:color w:val="auto"/>
              </w:rPr>
            </w:pPr>
            <w:r>
              <w:rPr>
                <w:rFonts w:ascii="Arial" w:cs="Arial" w:eastAsia="Arial" w:hAnsi="Arial"/>
                <w:sz w:val="18"/>
                <w:szCs w:val="18"/>
                <w:color w:val="auto"/>
              </w:rPr>
              <w:t>1</w:t>
            </w:r>
          </w:p>
        </w:tc>
        <w:tc>
          <w:tcPr>
            <w:tcW w:w="44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5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2 – FINANCIAL INFORMATION</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On November 2, 2017, we issued a press release announcing the results of operations for the three and nine months ended September 30, 2017.</w:t>
      </w:r>
    </w:p>
    <w:p>
      <w:pPr>
        <w:spacing w:after="0" w:line="23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press release is furnished with this Current Report on Form 8-K as Exhibit 99.1. The information furnished under this Item 2.02 and Item 9.01 of this Current Report on Form 8-K, including Exhibit 99.1, shall not be deemed to be “filed” for the purposes of Section 18 of the Securities Exchange Act of 1934, as amended, or otherwise subject to the liabilities of that section, nor shall it be deemed incorporated by reference in any registration statement or other filing under the Securities Act of 1933, as amended, regardless of any general incorporation by reference language in such filing, except as shall be expressly set forth by specific reference in any such filing.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10280" w:type="dxa"/>
            <w:vAlign w:val="bottom"/>
            <w:gridSpan w:val="5"/>
          </w:tcPr>
          <w:p>
            <w:pPr>
              <w:ind w:left="16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32"/>
        </w:trPr>
        <w:tc>
          <w:tcPr>
            <w:tcW w:w="20" w:type="dxa"/>
            <w:vAlign w:val="bottom"/>
          </w:tcPr>
          <w:p>
            <w:pPr>
              <w:spacing w:after="0"/>
              <w:rPr>
                <w:sz w:val="24"/>
                <w:szCs w:val="24"/>
                <w:color w:val="auto"/>
              </w:rPr>
            </w:pPr>
          </w:p>
        </w:tc>
        <w:tc>
          <w:tcPr>
            <w:tcW w:w="112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Exhibit No.</w:t>
            </w:r>
          </w:p>
        </w:tc>
        <w:tc>
          <w:tcPr>
            <w:tcW w:w="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20" w:type="dxa"/>
            <w:vAlign w:val="bottom"/>
          </w:tcPr>
          <w:p>
            <w:pPr>
              <w:spacing w:after="0"/>
              <w:rPr>
                <w:sz w:val="14"/>
                <w:szCs w:val="14"/>
                <w:color w:val="auto"/>
              </w:rPr>
            </w:pPr>
          </w:p>
        </w:tc>
        <w:tc>
          <w:tcPr>
            <w:tcW w:w="1120" w:type="dxa"/>
            <w:vAlign w:val="bottom"/>
          </w:tcPr>
          <w:p>
            <w:pPr>
              <w:ind w:left="80"/>
              <w:spacing w:after="0" w:line="170" w:lineRule="exact"/>
              <w:rPr>
                <w:sz w:val="20"/>
                <w:szCs w:val="20"/>
                <w:color w:val="auto"/>
              </w:rPr>
            </w:pPr>
            <w:r>
              <w:rPr>
                <w:rFonts w:ascii="Arial" w:cs="Arial" w:eastAsia="Arial" w:hAnsi="Arial"/>
                <w:sz w:val="18"/>
                <w:szCs w:val="18"/>
                <w:color w:val="auto"/>
              </w:rPr>
              <w:t>99.1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0" w:type="dxa"/>
            <w:vAlign w:val="bottom"/>
            <w:tcBorders>
              <w:bottom w:val="single" w:sz="8" w:color="0000EE"/>
            </w:tcBorders>
          </w:tcPr>
          <w:p>
            <w:pPr>
              <w:spacing w:after="0" w:line="170"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Press release, dated November 2, 2017</w:t>
              </w:r>
            </w:hyperlink>
          </w:p>
        </w:tc>
        <w:tc>
          <w:tcPr>
            <w:tcW w:w="7060" w:type="dxa"/>
            <w:vAlign w:val="bottom"/>
          </w:tcPr>
          <w:p>
            <w:pPr>
              <w:spacing w:after="0"/>
              <w:rPr>
                <w:sz w:val="14"/>
                <w:szCs w:val="14"/>
                <w:color w:val="auto"/>
              </w:rPr>
            </w:pPr>
          </w:p>
        </w:tc>
      </w:tr>
    </w:tbl>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926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9268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Douglas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2017</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13"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2800985</wp:posOffset>
            </wp:positionH>
            <wp:positionV relativeFrom="paragraph">
              <wp:posOffset>302895</wp:posOffset>
            </wp:positionV>
            <wp:extent cx="1655445" cy="4114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5544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Reports Third Quarter 2017 Results; Net Revenue Up 74% to Record $3.1 Million</w:t>
      </w:r>
    </w:p>
    <w:p>
      <w:pPr>
        <w:spacing w:after="0" w:line="225" w:lineRule="exact"/>
        <w:rPr>
          <w:sz w:val="20"/>
          <w:szCs w:val="20"/>
          <w:color w:val="auto"/>
        </w:rPr>
      </w:pPr>
    </w:p>
    <w:p>
      <w:pPr>
        <w:ind w:right="140"/>
        <w:spacing w:after="0" w:line="313" w:lineRule="auto"/>
        <w:rPr>
          <w:sz w:val="20"/>
          <w:szCs w:val="20"/>
          <w:color w:val="auto"/>
        </w:rPr>
      </w:pPr>
      <w:r>
        <w:rPr>
          <w:rFonts w:ascii="Arial" w:cs="Arial" w:eastAsia="Arial" w:hAnsi="Arial"/>
          <w:sz w:val="17"/>
          <w:szCs w:val="17"/>
          <w:b w:val="1"/>
          <w:bCs w:val="1"/>
          <w:color w:val="auto"/>
        </w:rPr>
        <w:t xml:space="preserve">Rochester, MI, (November 2, 2017) — </w:t>
      </w:r>
      <w:r>
        <w:rPr>
          <w:rFonts w:ascii="Arial" w:cs="Arial" w:eastAsia="Arial" w:hAnsi="Arial"/>
          <w:sz w:val="17"/>
          <w:szCs w:val="17"/>
          <w:color w:val="auto"/>
        </w:rPr>
        <w:t>OptimizeRx Corp. (OTCQB: OPRX), the nation’s leading provider of digital health messaging via electronic health</w:t>
      </w:r>
      <w:r>
        <w:rPr>
          <w:rFonts w:ascii="Arial" w:cs="Arial" w:eastAsia="Arial" w:hAnsi="Arial"/>
          <w:sz w:val="17"/>
          <w:szCs w:val="17"/>
          <w:b w:val="1"/>
          <w:bCs w:val="1"/>
          <w:color w:val="auto"/>
        </w:rPr>
        <w:t xml:space="preserve"> </w:t>
      </w:r>
      <w:r>
        <w:rPr>
          <w:rFonts w:ascii="Arial" w:cs="Arial" w:eastAsia="Arial" w:hAnsi="Arial"/>
          <w:sz w:val="17"/>
          <w:szCs w:val="17"/>
          <w:color w:val="auto"/>
        </w:rPr>
        <w:t>records (EHRs), reported results for the third quarter ended September 30, 2017. All quarterly comparisons are to the same year-ago quarter.</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Q3 2017 Highlights</w:t>
      </w:r>
    </w:p>
    <w:p>
      <w:pPr>
        <w:spacing w:after="0" w:line="99" w:lineRule="exact"/>
        <w:rPr>
          <w:sz w:val="20"/>
          <w:szCs w:val="20"/>
          <w:color w:val="auto"/>
        </w:rPr>
      </w:pPr>
    </w:p>
    <w:p>
      <w:pPr>
        <w:ind w:left="360" w:hanging="157"/>
        <w:spacing w:after="0"/>
        <w:tabs>
          <w:tab w:leader="none" w:pos="360" w:val="left"/>
        </w:tabs>
        <w:numPr>
          <w:ilvl w:val="0"/>
          <w:numId w:val="2"/>
        </w:numPr>
        <w:rPr>
          <w:rFonts w:ascii="Arial" w:cs="Arial" w:eastAsia="Arial" w:hAnsi="Arial"/>
          <w:sz w:val="22"/>
          <w:szCs w:val="22"/>
          <w:b w:val="1"/>
          <w:bCs w:val="1"/>
          <w:color w:val="auto"/>
        </w:rPr>
      </w:pPr>
      <w:r>
        <w:rPr>
          <w:rFonts w:ascii="Arial" w:cs="Arial" w:eastAsia="Arial" w:hAnsi="Arial"/>
          <w:sz w:val="18"/>
          <w:szCs w:val="18"/>
          <w:color w:val="auto"/>
        </w:rPr>
        <w:t>Net revenue increased 74% to a record $3.1 million, driven by growth in financial and brand messaging by new and returning clients.</w:t>
      </w:r>
    </w:p>
    <w:p>
      <w:pPr>
        <w:spacing w:after="0" w:line="109" w:lineRule="exact"/>
        <w:rPr>
          <w:rFonts w:ascii="Arial" w:cs="Arial" w:eastAsia="Arial" w:hAnsi="Arial"/>
          <w:sz w:val="22"/>
          <w:szCs w:val="22"/>
          <w:b w:val="1"/>
          <w:bCs w:val="1"/>
          <w:color w:val="auto"/>
        </w:rPr>
      </w:pPr>
    </w:p>
    <w:p>
      <w:pPr>
        <w:ind w:left="360" w:hanging="157"/>
        <w:spacing w:after="0"/>
        <w:tabs>
          <w:tab w:leader="none" w:pos="360" w:val="left"/>
        </w:tabs>
        <w:numPr>
          <w:ilvl w:val="0"/>
          <w:numId w:val="2"/>
        </w:numPr>
        <w:rPr>
          <w:rFonts w:ascii="Arial" w:cs="Arial" w:eastAsia="Arial" w:hAnsi="Arial"/>
          <w:sz w:val="21"/>
          <w:szCs w:val="21"/>
          <w:b w:val="1"/>
          <w:bCs w:val="1"/>
          <w:color w:val="auto"/>
        </w:rPr>
      </w:pPr>
      <w:r>
        <w:rPr>
          <w:rFonts w:ascii="Arial" w:cs="Arial" w:eastAsia="Arial" w:hAnsi="Arial"/>
          <w:sz w:val="17"/>
          <w:szCs w:val="17"/>
          <w:color w:val="auto"/>
        </w:rPr>
        <w:t>Financial messages, such as eCoupons, and brand messaging were distributed for more than 100 pharmaceutical brands during the quarter.</w:t>
      </w:r>
    </w:p>
    <w:p>
      <w:pPr>
        <w:spacing w:after="0" w:line="98" w:lineRule="exact"/>
        <w:rPr>
          <w:rFonts w:ascii="Arial" w:cs="Arial" w:eastAsia="Arial" w:hAnsi="Arial"/>
          <w:sz w:val="21"/>
          <w:szCs w:val="21"/>
          <w:b w:val="1"/>
          <w:bCs w:val="1"/>
          <w:color w:val="auto"/>
        </w:rPr>
      </w:pPr>
    </w:p>
    <w:p>
      <w:pPr>
        <w:ind w:left="360" w:hanging="157"/>
        <w:spacing w:after="0"/>
        <w:tabs>
          <w:tab w:leader="none" w:pos="360" w:val="left"/>
        </w:tabs>
        <w:numPr>
          <w:ilvl w:val="0"/>
          <w:numId w:val="2"/>
        </w:numPr>
        <w:rPr>
          <w:rFonts w:ascii="Arial" w:cs="Arial" w:eastAsia="Arial" w:hAnsi="Arial"/>
          <w:sz w:val="22"/>
          <w:szCs w:val="22"/>
          <w:b w:val="1"/>
          <w:bCs w:val="1"/>
          <w:color w:val="auto"/>
        </w:rPr>
      </w:pPr>
      <w:r>
        <w:rPr>
          <w:rFonts w:ascii="Arial" w:cs="Arial" w:eastAsia="Arial" w:hAnsi="Arial"/>
          <w:sz w:val="18"/>
          <w:szCs w:val="18"/>
          <w:color w:val="auto"/>
        </w:rPr>
        <w:t>Operating expense as a percentage of revenue improved to 65.4% versus 73.5% in the year-ago quarter.</w:t>
      </w:r>
    </w:p>
    <w:p>
      <w:pPr>
        <w:spacing w:after="0" w:line="109" w:lineRule="exact"/>
        <w:rPr>
          <w:rFonts w:ascii="Arial" w:cs="Arial" w:eastAsia="Arial" w:hAnsi="Arial"/>
          <w:sz w:val="22"/>
          <w:szCs w:val="22"/>
          <w:b w:val="1"/>
          <w:bCs w:val="1"/>
          <w:color w:val="auto"/>
        </w:rPr>
      </w:pPr>
    </w:p>
    <w:p>
      <w:pPr>
        <w:ind w:left="360" w:hanging="157"/>
        <w:spacing w:after="0"/>
        <w:tabs>
          <w:tab w:leader="none" w:pos="360" w:val="left"/>
        </w:tabs>
        <w:numPr>
          <w:ilvl w:val="0"/>
          <w:numId w:val="2"/>
        </w:numPr>
        <w:rPr>
          <w:rFonts w:ascii="Arial" w:cs="Arial" w:eastAsia="Arial" w:hAnsi="Arial"/>
          <w:sz w:val="21"/>
          <w:szCs w:val="21"/>
          <w:b w:val="1"/>
          <w:bCs w:val="1"/>
          <w:color w:val="auto"/>
        </w:rPr>
      </w:pPr>
      <w:r>
        <w:rPr>
          <w:rFonts w:ascii="Arial" w:cs="Arial" w:eastAsia="Arial" w:hAnsi="Arial"/>
          <w:sz w:val="17"/>
          <w:szCs w:val="17"/>
          <w:color w:val="auto"/>
        </w:rPr>
        <w:t>Appointed prominent health IT veteran, Miriam Paramore, as president to drive scale as OptimizeRx offers medication savings at point-of-care.</w:t>
      </w:r>
    </w:p>
    <w:p>
      <w:pPr>
        <w:spacing w:after="0" w:line="120" w:lineRule="exact"/>
        <w:rPr>
          <w:rFonts w:ascii="Arial" w:cs="Arial" w:eastAsia="Arial" w:hAnsi="Arial"/>
          <w:sz w:val="21"/>
          <w:szCs w:val="21"/>
          <w:b w:val="1"/>
          <w:bCs w:val="1"/>
          <w:color w:val="auto"/>
        </w:rPr>
      </w:pPr>
    </w:p>
    <w:p>
      <w:pPr>
        <w:ind w:left="360" w:hanging="157"/>
        <w:spacing w:after="0" w:line="232" w:lineRule="auto"/>
        <w:tabs>
          <w:tab w:leader="none" w:pos="360" w:val="left"/>
        </w:tabs>
        <w:numPr>
          <w:ilvl w:val="0"/>
          <w:numId w:val="2"/>
        </w:numPr>
        <w:rPr>
          <w:rFonts w:ascii="Arial" w:cs="Arial" w:eastAsia="Arial" w:hAnsi="Arial"/>
          <w:sz w:val="22"/>
          <w:szCs w:val="22"/>
          <w:color w:val="auto"/>
        </w:rPr>
      </w:pPr>
      <w:r>
        <w:rPr>
          <w:rFonts w:ascii="Arial" w:cs="Arial" w:eastAsia="Arial" w:hAnsi="Arial"/>
          <w:sz w:val="18"/>
          <w:szCs w:val="18"/>
          <w:color w:val="auto"/>
        </w:rPr>
        <w:t>Launched automated financial messaging within iSalus Healthcare’s EHR, alerting health care providers (HCPs) to potential prescription savings and support information for their patients.</w:t>
      </w:r>
    </w:p>
    <w:p>
      <w:pPr>
        <w:spacing w:after="0" w:line="84" w:lineRule="exact"/>
        <w:rPr>
          <w:rFonts w:ascii="Arial" w:cs="Arial" w:eastAsia="Arial" w:hAnsi="Arial"/>
          <w:sz w:val="22"/>
          <w:szCs w:val="22"/>
          <w:color w:val="auto"/>
        </w:rPr>
      </w:pPr>
    </w:p>
    <w:p>
      <w:pPr>
        <w:ind w:left="360" w:hanging="157"/>
        <w:spacing w:after="0"/>
        <w:tabs>
          <w:tab w:leader="none" w:pos="360" w:val="left"/>
        </w:tabs>
        <w:numPr>
          <w:ilvl w:val="0"/>
          <w:numId w:val="2"/>
        </w:numPr>
        <w:rPr>
          <w:rFonts w:ascii="Arial" w:cs="Arial" w:eastAsia="Arial" w:hAnsi="Arial"/>
          <w:sz w:val="21"/>
          <w:szCs w:val="21"/>
          <w:b w:val="1"/>
          <w:bCs w:val="1"/>
          <w:color w:val="auto"/>
        </w:rPr>
      </w:pPr>
      <w:r>
        <w:rPr>
          <w:rFonts w:ascii="Arial" w:cs="Arial" w:eastAsia="Arial" w:hAnsi="Arial"/>
          <w:sz w:val="17"/>
          <w:szCs w:val="17"/>
          <w:color w:val="auto"/>
        </w:rPr>
        <w:t>Added several business development and operations team members to accelerate revenue growth, brand expansion and new product sales.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Q3 2017 Financial Summary</w:t>
      </w:r>
    </w:p>
    <w:p>
      <w:pPr>
        <w:spacing w:after="0" w:line="2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Net revenue in the third quarter of 2017 increased 74% to $3.1 million from $1.8 million in the same year-ago quarter. The increase was primarily due to revenue from OptimizeRx’s two core products of financial and brand messaging coupled with broader distribution with the company’s new channel partners. Additionally, the launch of new pharmaceutical brands, which now totals more than 100 between financial and brand messaging, also contributed to the increase.</w:t>
      </w:r>
    </w:p>
    <w:p>
      <w:pPr>
        <w:spacing w:after="0" w:line="14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Operating expenses in the third quarter of 2017 were $2.0 million, up from $1.3 million in the third quarter of 2016. The increase was primarily due to additional expenses related to growth initiatives, including in the company’s executive and sales team.</w:t>
      </w:r>
    </w:p>
    <w:p>
      <w:pPr>
        <w:spacing w:after="0" w:line="8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Net loss for the third quarter of 2017 was $623,000 or $(0.02) per share, as compared to a net loss of $243,000 or $(0.01) per share in the third quarter of 2016.</w:t>
      </w:r>
    </w:p>
    <w:p>
      <w:pPr>
        <w:spacing w:after="0" w:line="8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Cash and cash equivalents totaled $5.0 million at September 30, 2017, as compared to $5.8 million at June 30, 2017. The company continued to operate debt-free.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Management Commentary</w:t>
      </w:r>
    </w:p>
    <w:p>
      <w:pPr>
        <w:spacing w:after="0" w:line="2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Q3, our record topline was driven by the growth of our financial and brand messaging products, as well as the expansion of our EHR network through which those products are distributed to HCPs,” said OptimizeRx CEO, William Febbo. “We added iSalus Healthcare, an industry-leading EHR, to our EHR network, which is still the largest of its kind with more than 370 EHRs nationwide.</w:t>
      </w:r>
    </w:p>
    <w:p>
      <w:pPr>
        <w:spacing w:after="0" w:line="190"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“During the quarter, we also continued to see the expansion of clients, brands, and agencies advising the industry about our cloud-based EHR channel. To support further growth and drive scale, we appointed Miriam Paramore, an accomplished health IT industry veteran, as our new president. We also added several business development and operations team members.</w:t>
      </w:r>
    </w:p>
    <w:p>
      <w:pPr>
        <w:spacing w:after="0" w:line="18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“These investments in our executive and sales teams have already begun to produce returns in terms of accelerated revenue growth, broader client base, and greater scale potential. In fact, our operating expenses as a percentage of revenue decreased markedly during the quarter. We see this decrease as demonstrative of the substantial leverage in our operating model, in that it supports greater market reach and revenue growth without the need to incrementally increase operating cost in a matching fashion. So, as we grow, we expect operating expense as a percentage of revenue to continue to decrease.</w:t>
      </w:r>
    </w:p>
    <w:p>
      <w:pPr>
        <w:spacing w:after="0" w:line="154"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“Our success in acquiring, integrating and expanding into new promotional EHR/eRx platforms has also continued to strengthen. As a result, we have more master service agreements now than ever before. We recently added Aprima Medical Software, and we are actively engaged in discussions with several additional EHRs to integrate our technology into their platforms. We are also working extensively with our existing platforms to expand the reach of our financial messaging to additional health care providers, as well as increasing the utilization by existing users.</w:t>
      </w:r>
    </w:p>
    <w:p>
      <w:pPr>
        <w:spacing w:after="0" w:line="17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“We believe EHR adoption is here to stay, e-prescription has become well adopted, and point-of-care access is proving highly valuable to pharma. All of this is conducive to the growth of our unique marketing channel between pharma companies and HCPs. We also believe we have only just begun to scratch the surface of our market potential. So, with the growth of pharma brands, channel partners and HCPs on our EHR network, we expect the distribution of our financial messaging will continue to increase, and our brand messaging will continue to support top-line growth.</w:t>
      </w:r>
    </w:p>
    <w:p>
      <w:pPr>
        <w:spacing w:after="0" w:line="17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“For the remainder of the year and beyond, we will remain focused on engaging more brands, and developing more solutions and more reach. Given the greater visibility into our expanding client base, we believe we are well on track for another record quarter ahead.”</w:t>
      </w:r>
    </w:p>
    <w:p>
      <w:pPr>
        <w:spacing w:after="0" w:line="2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931" w:right="31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Conference Call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OptimizeRx management will host the presentation, followed by a question and answer period.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Thursday, November 2, 2017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Time: 4:30 p.m. Eastern time (1:30 p.m. Pacific time)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Toll-free dial-in number: 1-800-406-5345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International dial-in number: 1-719-457-2644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Conference ID: 4446715</w:t>
      </w:r>
    </w:p>
    <w:p>
      <w:pPr>
        <w:spacing w:after="0" w:line="21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Please call the conference telephone number five minutes prior to the start time. An operator will register your name and organization. If you have any difficulty connecting with the conference call, please contact CMA at 1-949-432-7566.</w:t>
      </w:r>
    </w:p>
    <w:p>
      <w:pPr>
        <w:spacing w:after="0" w:line="17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A replay of the call will be available after 7:30 p.m. Eastern time on the same day through November 23, 2017, as well as available for replay via the Investors section of the OptimizeRx website at www.optimizerxcorp.com.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Toll-free replay number: 1-844-512-2921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International replay number: 1-412-317-6671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Replay ID: 4446715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OptimizeRx</w:t>
      </w:r>
    </w:p>
    <w:p>
      <w:pPr>
        <w:spacing w:after="0" w:line="27" w:lineRule="exact"/>
        <w:rPr>
          <w:sz w:val="20"/>
          <w:szCs w:val="20"/>
          <w:color w:val="auto"/>
        </w:rPr>
      </w:pPr>
    </w:p>
    <w:p>
      <w:pPr>
        <w:ind w:right="220"/>
        <w:spacing w:after="0" w:line="270" w:lineRule="auto"/>
        <w:rPr>
          <w:sz w:val="20"/>
          <w:szCs w:val="20"/>
          <w:color w:val="auto"/>
        </w:rPr>
      </w:pPr>
      <w:r>
        <w:rPr>
          <w:rFonts w:ascii="Arial" w:cs="Arial" w:eastAsia="Arial" w:hAnsi="Arial"/>
          <w:sz w:val="17"/>
          <w:szCs w:val="17"/>
          <w:color w:val="auto"/>
        </w:rPr>
        <w:t>OptimizeRx® (OTCQB: OPRX) is the nation’s leading provider of digital health messaging via electronic health records (EHRs). The company’s cloud-based solution supports patient adherence to medications by providing convenient access to financial assistance, prior authorization, education, and critical clinical information. The company’s network is comprised of more than 370 independent EHR platforms, providing more than half a million healthcare providers access to these benefits within their e-prescribing workflow and at the point of care. The largest of its kind, the OptimizeRx EHR network helps improve patient care and outcomes by providing a direct channel for pharma companies to communicate with healthcare providers. For more information, follow the company on Twitter, LinkedIn or visit www.optimizerx.com.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Cautions Regarding Forward Looking Statements</w:t>
      </w:r>
    </w:p>
    <w:p>
      <w:pPr>
        <w:spacing w:after="0" w:line="2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This press release contains forward-looking statements within the definition of Section 27A of the Securities Act of 1933, as amended and such section 21E of the Securities Act of 1934,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2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013" w:right="279" w:bottom="1440" w:gutter="0" w:footer="0" w:header="0"/>
        </w:sectPr>
      </w:pPr>
    </w:p>
    <w:bookmarkStart w:id="6" w:name="page7"/>
    <w:bookmarkEnd w:id="6"/>
    <w:p>
      <w:pPr>
        <w:ind w:left="4440"/>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AS OF SEPTEMBER 30, 2017 AND DECEMBER 31, 2016</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89"/>
              </w:rPr>
              <w:t>September 30,</w:t>
            </w:r>
          </w:p>
        </w:tc>
        <w:tc>
          <w:tcPr>
            <w:tcW w:w="80" w:type="dxa"/>
            <w:vAlign w:val="bottom"/>
          </w:tcPr>
          <w:p>
            <w:pPr>
              <w:spacing w:after="0"/>
              <w:rPr>
                <w:sz w:val="18"/>
                <w:szCs w:val="18"/>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8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460" w:type="dxa"/>
            <w:vAlign w:val="bottom"/>
            <w:vMerge w:val="restart"/>
          </w:tcPr>
          <w:p>
            <w:pPr>
              <w:ind w:left="4020"/>
              <w:spacing w:after="0"/>
              <w:rPr>
                <w:sz w:val="20"/>
                <w:szCs w:val="20"/>
                <w:color w:val="auto"/>
              </w:rPr>
            </w:pPr>
            <w:r>
              <w:rPr>
                <w:rFonts w:ascii="Arial" w:cs="Arial" w:eastAsia="Arial" w:hAnsi="Arial"/>
                <w:sz w:val="18"/>
                <w:szCs w:val="18"/>
                <w:b w:val="1"/>
                <w:bCs w:val="1"/>
                <w:color w:val="auto"/>
              </w:rPr>
              <w:t>ASSETS</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9"/>
              </w:rPr>
              <w:t>(Unaudited)</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846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5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5,013,128</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7,034,647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2,704,752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3,060,396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8460" w:type="dxa"/>
            <w:vAlign w:val="bottom"/>
          </w:tcPr>
          <w:p>
            <w:pPr>
              <w:ind w:left="180"/>
              <w:spacing w:after="0"/>
              <w:rPr>
                <w:sz w:val="20"/>
                <w:szCs w:val="20"/>
                <w:color w:val="auto"/>
              </w:rPr>
            </w:pPr>
            <w:r>
              <w:rPr>
                <w:rFonts w:ascii="Arial" w:cs="Arial" w:eastAsia="Arial" w:hAnsi="Arial"/>
                <w:sz w:val="18"/>
                <w:szCs w:val="18"/>
                <w:color w:val="auto"/>
              </w:rPr>
              <w:t>Prepaid expenses</w:t>
            </w: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246,806</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80,820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460" w:type="dxa"/>
            <w:vAlign w:val="bottom"/>
          </w:tcPr>
          <w:p>
            <w:pPr>
              <w:spacing w:after="0" w:line="203" w:lineRule="exact"/>
              <w:rPr>
                <w:sz w:val="20"/>
                <w:szCs w:val="20"/>
                <w:color w:val="auto"/>
              </w:rPr>
            </w:pPr>
            <w:r>
              <w:rPr>
                <w:rFonts w:ascii="Arial" w:cs="Arial" w:eastAsia="Arial" w:hAnsi="Arial"/>
                <w:sz w:val="18"/>
                <w:szCs w:val="18"/>
                <w:color w:val="auto"/>
              </w:rPr>
              <w:t>Total Current Assets</w:t>
            </w:r>
          </w:p>
        </w:tc>
        <w:tc>
          <w:tcPr>
            <w:tcW w:w="3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7,964,686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10,175,863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460" w:type="dxa"/>
            <w:vAlign w:val="bottom"/>
          </w:tcPr>
          <w:p>
            <w:pPr>
              <w:spacing w:after="0" w:line="203" w:lineRule="exact"/>
              <w:rPr>
                <w:sz w:val="20"/>
                <w:szCs w:val="20"/>
                <w:color w:val="auto"/>
              </w:rPr>
            </w:pPr>
            <w:r>
              <w:rPr>
                <w:rFonts w:ascii="Arial" w:cs="Arial" w:eastAsia="Arial" w:hAnsi="Arial"/>
                <w:sz w:val="18"/>
                <w:szCs w:val="18"/>
                <w:color w:val="auto"/>
              </w:rPr>
              <w:t>Property and equipment, net</w:t>
            </w:r>
          </w:p>
        </w:tc>
        <w:tc>
          <w:tcPr>
            <w:tcW w:w="3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180,459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173,649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460" w:type="dxa"/>
            <w:vAlign w:val="bottom"/>
          </w:tcPr>
          <w:p>
            <w:pPr>
              <w:spacing w:after="0" w:line="201" w:lineRule="exact"/>
              <w:rPr>
                <w:sz w:val="20"/>
                <w:szCs w:val="20"/>
                <w:color w:val="auto"/>
              </w:rPr>
            </w:pPr>
            <w:r>
              <w:rPr>
                <w:rFonts w:ascii="Arial" w:cs="Arial" w:eastAsia="Arial" w:hAnsi="Arial"/>
                <w:sz w:val="18"/>
                <w:szCs w:val="18"/>
                <w:color w:val="auto"/>
              </w:rPr>
              <w:t>Other Assets</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Patent rights, net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721,476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772,394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Web development and other intangible costs, net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942,972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351,804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8460" w:type="dxa"/>
            <w:vAlign w:val="bottom"/>
          </w:tcPr>
          <w:p>
            <w:pPr>
              <w:ind w:left="180"/>
              <w:spacing w:after="0"/>
              <w:rPr>
                <w:sz w:val="20"/>
                <w:szCs w:val="20"/>
                <w:color w:val="auto"/>
              </w:rPr>
            </w:pPr>
            <w:r>
              <w:rPr>
                <w:rFonts w:ascii="Arial" w:cs="Arial" w:eastAsia="Arial" w:hAnsi="Arial"/>
                <w:sz w:val="18"/>
                <w:szCs w:val="18"/>
                <w:color w:val="auto"/>
              </w:rPr>
              <w:t>Security deposit</w:t>
            </w: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5,049</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5,049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460" w:type="dxa"/>
            <w:vAlign w:val="bottom"/>
          </w:tcPr>
          <w:p>
            <w:pPr>
              <w:spacing w:after="0" w:line="203" w:lineRule="exact"/>
              <w:rPr>
                <w:sz w:val="20"/>
                <w:szCs w:val="20"/>
                <w:color w:val="auto"/>
              </w:rPr>
            </w:pPr>
            <w:r>
              <w:rPr>
                <w:rFonts w:ascii="Arial" w:cs="Arial" w:eastAsia="Arial" w:hAnsi="Arial"/>
                <w:sz w:val="18"/>
                <w:szCs w:val="18"/>
                <w:color w:val="auto"/>
              </w:rPr>
              <w:t>Total Other Assets</w:t>
            </w:r>
          </w:p>
        </w:tc>
        <w:tc>
          <w:tcPr>
            <w:tcW w:w="3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1,669,497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1,129,247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8460" w:type="dxa"/>
            <w:vAlign w:val="bottom"/>
          </w:tcPr>
          <w:p>
            <w:pPr>
              <w:spacing w:after="0" w:line="203" w:lineRule="exact"/>
              <w:rPr>
                <w:sz w:val="20"/>
                <w:szCs w:val="20"/>
                <w:color w:val="auto"/>
              </w:rPr>
            </w:pPr>
            <w:r>
              <w:rPr>
                <w:rFonts w:ascii="Arial" w:cs="Arial" w:eastAsia="Arial" w:hAnsi="Arial"/>
                <w:sz w:val="18"/>
                <w:szCs w:val="18"/>
                <w:color w:val="auto"/>
              </w:rPr>
              <w:t>TOTAL ASSETS</w:t>
            </w:r>
          </w:p>
        </w:tc>
        <w:tc>
          <w:tcPr>
            <w:tcW w:w="5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9,814,642</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11,478,759</w:t>
            </w:r>
          </w:p>
        </w:tc>
        <w:tc>
          <w:tcPr>
            <w:tcW w:w="0" w:type="dxa"/>
            <w:vAlign w:val="bottom"/>
          </w:tcPr>
          <w:p>
            <w:pPr>
              <w:spacing w:after="0"/>
              <w:rPr>
                <w:sz w:val="1"/>
                <w:szCs w:val="1"/>
                <w:color w:val="auto"/>
              </w:rPr>
            </w:pPr>
          </w:p>
        </w:tc>
      </w:tr>
      <w:tr>
        <w:trPr>
          <w:trHeight w:val="21"/>
        </w:trPr>
        <w:tc>
          <w:tcPr>
            <w:tcW w:w="8460" w:type="dxa"/>
            <w:vAlign w:val="bottom"/>
            <w:vMerge w:val="restart"/>
          </w:tcPr>
          <w:p>
            <w:pPr>
              <w:ind w:left="2400"/>
              <w:spacing w:after="0"/>
              <w:rPr>
                <w:sz w:val="20"/>
                <w:szCs w:val="20"/>
                <w:color w:val="auto"/>
              </w:rPr>
            </w:pPr>
            <w:r>
              <w:rPr>
                <w:rFonts w:ascii="Arial" w:cs="Arial" w:eastAsia="Arial" w:hAnsi="Arial"/>
                <w:sz w:val="18"/>
                <w:szCs w:val="18"/>
                <w:b w:val="1"/>
                <w:bCs w:val="1"/>
                <w:color w:val="auto"/>
              </w:rPr>
              <w:t>LIABILITIES AND STOCKHOLDERS’ EQUITY</w:t>
            </w: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8"/>
        </w:trPr>
        <w:tc>
          <w:tcPr>
            <w:tcW w:w="84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Current Liabilities</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Accounts payable – trade</w:t>
            </w:r>
          </w:p>
        </w:tc>
        <w:tc>
          <w:tcPr>
            <w:tcW w:w="5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720,758</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369,214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434,559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288,268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Revenue share payable</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1,877,991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2,622,517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846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729,092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386,581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460" w:type="dxa"/>
            <w:vAlign w:val="bottom"/>
          </w:tcPr>
          <w:p>
            <w:pPr>
              <w:spacing w:after="0" w:line="203" w:lineRule="exact"/>
              <w:rPr>
                <w:sz w:val="20"/>
                <w:szCs w:val="20"/>
                <w:color w:val="auto"/>
              </w:rPr>
            </w:pPr>
            <w:r>
              <w:rPr>
                <w:rFonts w:ascii="Arial" w:cs="Arial" w:eastAsia="Arial" w:hAnsi="Arial"/>
                <w:sz w:val="18"/>
                <w:szCs w:val="18"/>
                <w:color w:val="auto"/>
              </w:rPr>
              <w:t>Total Liabilities</w:t>
            </w:r>
          </w:p>
        </w:tc>
        <w:tc>
          <w:tcPr>
            <w:tcW w:w="3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3,762,400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3,666,580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460" w:type="dxa"/>
            <w:vAlign w:val="bottom"/>
          </w:tcPr>
          <w:p>
            <w:pPr>
              <w:spacing w:after="0" w:line="201" w:lineRule="exact"/>
              <w:rPr>
                <w:sz w:val="20"/>
                <w:szCs w:val="20"/>
                <w:color w:val="auto"/>
              </w:rPr>
            </w:pPr>
            <w:r>
              <w:rPr>
                <w:rFonts w:ascii="Arial" w:cs="Arial" w:eastAsia="Arial" w:hAnsi="Arial"/>
                <w:sz w:val="18"/>
                <w:szCs w:val="18"/>
                <w:color w:val="auto"/>
              </w:rPr>
              <w:t>Stockholders’ Equity</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Preferred stock, $.001 par value, 10,000,000 shares authorized, no shares issued and outstanding</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w w:val="92"/>
              </w:rPr>
              <w:t>Common stock, $.001 par value, 500,000,000 shares authorized, 29,275,117 and 29,718,867 shares issued and</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tcPr>
          <w:p>
            <w:pPr>
              <w:ind w:left="340"/>
              <w:spacing w:after="0"/>
              <w:rPr>
                <w:sz w:val="20"/>
                <w:szCs w:val="20"/>
                <w:color w:val="auto"/>
              </w:rPr>
            </w:pPr>
            <w:r>
              <w:rPr>
                <w:rFonts w:ascii="Arial" w:cs="Arial" w:eastAsia="Arial" w:hAnsi="Arial"/>
                <w:sz w:val="18"/>
                <w:szCs w:val="18"/>
                <w:color w:val="auto"/>
              </w:rPr>
              <w:t>outstanding, respectively</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29,275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29,719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Stock warrants</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2,294,416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2,294,416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Additional paid-in-capital</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33,854,614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33,747,137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846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(30,126,063)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(28,259,093)</w:t>
            </w:r>
          </w:p>
        </w:tc>
        <w:tc>
          <w:tcPr>
            <w:tcW w:w="0" w:type="dxa"/>
            <w:vAlign w:val="bottom"/>
          </w:tcPr>
          <w:p>
            <w:pPr>
              <w:spacing w:after="0"/>
              <w:rPr>
                <w:sz w:val="1"/>
                <w:szCs w:val="1"/>
                <w:color w:val="auto"/>
              </w:rPr>
            </w:pPr>
          </w:p>
        </w:tc>
      </w:tr>
      <w:tr>
        <w:trPr>
          <w:trHeight w:val="223"/>
        </w:trPr>
        <w:tc>
          <w:tcPr>
            <w:tcW w:w="8460" w:type="dxa"/>
            <w:vAlign w:val="bottom"/>
          </w:tcPr>
          <w:p>
            <w:pPr>
              <w:spacing w:after="0" w:line="203" w:lineRule="exact"/>
              <w:rPr>
                <w:sz w:val="20"/>
                <w:szCs w:val="20"/>
                <w:color w:val="auto"/>
              </w:rPr>
            </w:pPr>
            <w:r>
              <w:rPr>
                <w:rFonts w:ascii="Arial" w:cs="Arial" w:eastAsia="Arial" w:hAnsi="Arial"/>
                <w:sz w:val="18"/>
                <w:szCs w:val="18"/>
                <w:color w:val="auto"/>
              </w:rPr>
              <w:t>Total Stockholders’ Equity</w:t>
            </w:r>
          </w:p>
        </w:tc>
        <w:tc>
          <w:tcPr>
            <w:tcW w:w="3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6,052,242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7,812,179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8460" w:type="dxa"/>
            <w:vAlign w:val="bottom"/>
          </w:tcPr>
          <w:p>
            <w:pPr>
              <w:spacing w:after="0" w:line="203" w:lineRule="exact"/>
              <w:rPr>
                <w:sz w:val="20"/>
                <w:szCs w:val="20"/>
                <w:color w:val="auto"/>
              </w:rPr>
            </w:pPr>
            <w:r>
              <w:rPr>
                <w:rFonts w:ascii="Arial" w:cs="Arial" w:eastAsia="Arial" w:hAnsi="Arial"/>
                <w:sz w:val="18"/>
                <w:szCs w:val="18"/>
                <w:color w:val="auto"/>
              </w:rPr>
              <w:t>TOTAL LIABILITIES AND STOCKHOLDERS’ EQUITY</w:t>
            </w:r>
          </w:p>
        </w:tc>
        <w:tc>
          <w:tcPr>
            <w:tcW w:w="5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9,814,642</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11,478,759</w:t>
            </w:r>
          </w:p>
        </w:tc>
        <w:tc>
          <w:tcPr>
            <w:tcW w:w="0" w:type="dxa"/>
            <w:vAlign w:val="bottom"/>
          </w:tcPr>
          <w:p>
            <w:pPr>
              <w:spacing w:after="0"/>
              <w:rPr>
                <w:sz w:val="1"/>
                <w:szCs w:val="1"/>
                <w:color w:val="auto"/>
              </w:rPr>
            </w:pPr>
          </w:p>
        </w:tc>
      </w:tr>
      <w:tr>
        <w:trPr>
          <w:trHeight w:val="21"/>
        </w:trPr>
        <w:tc>
          <w:tcPr>
            <w:tcW w:w="8460" w:type="dxa"/>
            <w:vAlign w:val="bottom"/>
            <w:vMerge w:val="restart"/>
          </w:tcPr>
          <w:p>
            <w:pPr>
              <w:ind w:left="5680"/>
              <w:spacing w:after="0"/>
              <w:rPr>
                <w:sz w:val="20"/>
                <w:szCs w:val="20"/>
                <w:color w:val="auto"/>
              </w:rPr>
            </w:pPr>
            <w:r>
              <w:rPr>
                <w:rFonts w:ascii="Arial" w:cs="Arial" w:eastAsia="Arial" w:hAnsi="Arial"/>
                <w:sz w:val="18"/>
                <w:szCs w:val="18"/>
                <w:color w:val="auto"/>
              </w:rPr>
              <w:t>4</w:t>
            </w: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63"/>
        </w:trPr>
        <w:tc>
          <w:tcPr>
            <w:tcW w:w="8460" w:type="dxa"/>
            <w:vAlign w:val="bottom"/>
            <w:tcBorders>
              <w:bottom w:val="single" w:sz="8" w:color="auto"/>
            </w:tcBorders>
            <w:vMerge w:val="continue"/>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NINE MONTHS ENDED SEPTEMBER 30, 2017 AND 2016</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gridSpan w:val="6"/>
          </w:tcPr>
          <w:p>
            <w:pPr>
              <w:jc w:val="right"/>
              <w:ind w:right="360"/>
              <w:spacing w:after="0"/>
              <w:rPr>
                <w:sz w:val="20"/>
                <w:szCs w:val="20"/>
                <w:color w:val="auto"/>
              </w:rPr>
            </w:pPr>
            <w:r>
              <w:rPr>
                <w:rFonts w:ascii="Arial" w:cs="Arial" w:eastAsia="Arial" w:hAnsi="Arial"/>
                <w:sz w:val="18"/>
                <w:szCs w:val="18"/>
                <w:b w:val="1"/>
                <w:bCs w:val="1"/>
                <w:color w:val="auto"/>
                <w:w w:val="91"/>
              </w:rPr>
              <w:t>For the Three Months Ended</w:t>
            </w:r>
          </w:p>
        </w:tc>
        <w:tc>
          <w:tcPr>
            <w:tcW w:w="140" w:type="dxa"/>
            <w:vAlign w:val="bottom"/>
          </w:tcPr>
          <w:p>
            <w:pPr>
              <w:spacing w:after="0"/>
              <w:rPr>
                <w:sz w:val="19"/>
                <w:szCs w:val="19"/>
                <w:color w:val="auto"/>
              </w:rPr>
            </w:pPr>
          </w:p>
        </w:tc>
        <w:tc>
          <w:tcPr>
            <w:tcW w:w="2460" w:type="dxa"/>
            <w:vAlign w:val="bottom"/>
            <w:gridSpan w:val="6"/>
          </w:tcPr>
          <w:p>
            <w:pPr>
              <w:jc w:val="right"/>
              <w:ind w:right="280"/>
              <w:spacing w:after="0"/>
              <w:rPr>
                <w:sz w:val="20"/>
                <w:szCs w:val="20"/>
                <w:color w:val="auto"/>
              </w:rPr>
            </w:pPr>
            <w:r>
              <w:rPr>
                <w:rFonts w:ascii="Arial" w:cs="Arial" w:eastAsia="Arial" w:hAnsi="Arial"/>
                <w:sz w:val="18"/>
                <w:szCs w:val="18"/>
                <w:b w:val="1"/>
                <w:bCs w:val="1"/>
                <w:color w:val="auto"/>
                <w:w w:val="92"/>
              </w:rPr>
              <w:t>For the Nine Months Ended</w:t>
            </w:r>
          </w:p>
        </w:tc>
        <w:tc>
          <w:tcPr>
            <w:tcW w:w="0" w:type="dxa"/>
            <w:vAlign w:val="bottom"/>
          </w:tcPr>
          <w:p>
            <w:pPr>
              <w:spacing w:after="0"/>
              <w:rPr>
                <w:sz w:val="1"/>
                <w:szCs w:val="1"/>
                <w:color w:val="auto"/>
              </w:rPr>
            </w:pPr>
          </w:p>
        </w:tc>
      </w:tr>
      <w:tr>
        <w:trPr>
          <w:trHeight w:val="241"/>
        </w:trPr>
        <w:tc>
          <w:tcPr>
            <w:tcW w:w="5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20" w:type="dxa"/>
            <w:vAlign w:val="bottom"/>
            <w:gridSpan w:val="6"/>
          </w:tcPr>
          <w:p>
            <w:pPr>
              <w:jc w:val="right"/>
              <w:ind w:right="960"/>
              <w:spacing w:after="0"/>
              <w:rPr>
                <w:sz w:val="20"/>
                <w:szCs w:val="20"/>
                <w:color w:val="auto"/>
              </w:rPr>
            </w:pPr>
            <w:r>
              <w:rPr>
                <w:rFonts w:ascii="Arial" w:cs="Arial" w:eastAsia="Arial" w:hAnsi="Arial"/>
                <w:sz w:val="18"/>
                <w:szCs w:val="18"/>
                <w:b w:val="1"/>
                <w:bCs w:val="1"/>
                <w:color w:val="auto"/>
              </w:rPr>
              <w:t>September 30</w:t>
            </w:r>
          </w:p>
        </w:tc>
        <w:tc>
          <w:tcPr>
            <w:tcW w:w="140" w:type="dxa"/>
            <w:vAlign w:val="bottom"/>
          </w:tcPr>
          <w:p>
            <w:pPr>
              <w:spacing w:after="0"/>
              <w:rPr>
                <w:sz w:val="20"/>
                <w:szCs w:val="20"/>
                <w:color w:val="auto"/>
              </w:rPr>
            </w:pPr>
          </w:p>
        </w:tc>
        <w:tc>
          <w:tcPr>
            <w:tcW w:w="2460" w:type="dxa"/>
            <w:vAlign w:val="bottom"/>
            <w:gridSpan w:val="6"/>
          </w:tcPr>
          <w:p>
            <w:pPr>
              <w:jc w:val="right"/>
              <w:ind w:right="82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37"/>
        </w:trPr>
        <w:tc>
          <w:tcPr>
            <w:tcW w:w="5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260" w:type="dxa"/>
            <w:vAlign w:val="bottom"/>
          </w:tcPr>
          <w:p>
            <w:pPr>
              <w:spacing w:after="0"/>
              <w:rPr>
                <w:sz w:val="20"/>
                <w:szCs w:val="20"/>
                <w:color w:val="auto"/>
              </w:rPr>
            </w:pPr>
            <w:r>
              <w:rPr>
                <w:rFonts w:ascii="Arial" w:cs="Arial" w:eastAsia="Arial" w:hAnsi="Arial"/>
                <w:sz w:val="18"/>
                <w:szCs w:val="18"/>
                <w:color w:val="auto"/>
              </w:rPr>
              <w:t>NET REVENUE</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3,102,607</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1,786,137</w:t>
            </w:r>
          </w:p>
        </w:tc>
        <w:tc>
          <w:tcPr>
            <w:tcW w:w="2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8,120,502</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5,458,944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5260" w:type="dxa"/>
            <w:vAlign w:val="bottom"/>
          </w:tcPr>
          <w:p>
            <w:pPr>
              <w:spacing w:after="0"/>
              <w:rPr>
                <w:sz w:val="20"/>
                <w:szCs w:val="20"/>
                <w:color w:val="auto"/>
              </w:rPr>
            </w:pPr>
            <w:r>
              <w:rPr>
                <w:rFonts w:ascii="Arial" w:cs="Arial" w:eastAsia="Arial" w:hAnsi="Arial"/>
                <w:sz w:val="18"/>
                <w:szCs w:val="18"/>
                <w:color w:val="auto"/>
              </w:rPr>
              <w:t>REVENUE SHARE EXPENSE</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1,703,676</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723,396</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4,690,943</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2,539,021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2"/>
        </w:trPr>
        <w:tc>
          <w:tcPr>
            <w:tcW w:w="5260" w:type="dxa"/>
            <w:vAlign w:val="bottom"/>
          </w:tcPr>
          <w:p>
            <w:pPr>
              <w:ind w:left="180"/>
              <w:spacing w:after="0"/>
              <w:rPr>
                <w:sz w:val="20"/>
                <w:szCs w:val="20"/>
                <w:color w:val="auto"/>
              </w:rPr>
            </w:pPr>
            <w:r>
              <w:rPr>
                <w:rFonts w:ascii="Arial" w:cs="Arial" w:eastAsia="Arial" w:hAnsi="Arial"/>
                <w:sz w:val="18"/>
                <w:szCs w:val="18"/>
                <w:color w:val="auto"/>
              </w:rPr>
              <w:t>GROSS MARGIN</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1,398,931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1,062,741</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3,429,559</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2,919,923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5260" w:type="dxa"/>
            <w:vAlign w:val="bottom"/>
          </w:tcPr>
          <w:p>
            <w:pPr>
              <w:spacing w:after="0"/>
              <w:rPr>
                <w:sz w:val="20"/>
                <w:szCs w:val="20"/>
                <w:color w:val="auto"/>
              </w:rPr>
            </w:pPr>
            <w:r>
              <w:rPr>
                <w:rFonts w:ascii="Arial" w:cs="Arial" w:eastAsia="Arial" w:hAnsi="Arial"/>
                <w:sz w:val="18"/>
                <w:szCs w:val="18"/>
                <w:color w:val="auto"/>
              </w:rPr>
              <w:t>OPERATING EXPENSES</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2,028,589</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1,311,959</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5,320,220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4,133,505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53"/>
        </w:trPr>
        <w:tc>
          <w:tcPr>
            <w:tcW w:w="5260" w:type="dxa"/>
            <w:vAlign w:val="bottom"/>
          </w:tcPr>
          <w:p>
            <w:pPr>
              <w:ind w:left="180"/>
              <w:spacing w:after="0"/>
              <w:rPr>
                <w:sz w:val="20"/>
                <w:szCs w:val="20"/>
                <w:color w:val="auto"/>
              </w:rPr>
            </w:pPr>
            <w:r>
              <w:rPr>
                <w:rFonts w:ascii="Arial" w:cs="Arial" w:eastAsia="Arial" w:hAnsi="Arial"/>
                <w:sz w:val="18"/>
                <w:szCs w:val="18"/>
                <w:color w:val="auto"/>
              </w:rPr>
              <w:t>LOSS FROM OPERATIONS</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(629,658)</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(249,218)</w:t>
            </w:r>
          </w:p>
        </w:tc>
        <w:tc>
          <w:tcPr>
            <w:tcW w:w="140" w:type="dxa"/>
            <w:vAlign w:val="bottom"/>
          </w:tcPr>
          <w:p>
            <w:pPr>
              <w:spacing w:after="0"/>
              <w:rPr>
                <w:sz w:val="24"/>
                <w:szCs w:val="24"/>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(1,890,661)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(1,213,582)</w:t>
            </w:r>
          </w:p>
        </w:tc>
        <w:tc>
          <w:tcPr>
            <w:tcW w:w="0" w:type="dxa"/>
            <w:vAlign w:val="bottom"/>
          </w:tcPr>
          <w:p>
            <w:pPr>
              <w:spacing w:after="0"/>
              <w:rPr>
                <w:sz w:val="1"/>
                <w:szCs w:val="1"/>
                <w:color w:val="auto"/>
              </w:rPr>
            </w:pPr>
          </w:p>
        </w:tc>
      </w:tr>
      <w:tr>
        <w:trPr>
          <w:trHeight w:val="418"/>
        </w:trPr>
        <w:tc>
          <w:tcPr>
            <w:tcW w:w="5260" w:type="dxa"/>
            <w:vAlign w:val="bottom"/>
          </w:tcPr>
          <w:p>
            <w:pPr>
              <w:spacing w:after="0"/>
              <w:rPr>
                <w:sz w:val="20"/>
                <w:szCs w:val="20"/>
                <w:color w:val="auto"/>
              </w:rPr>
            </w:pPr>
            <w:r>
              <w:rPr>
                <w:rFonts w:ascii="Arial" w:cs="Arial" w:eastAsia="Arial" w:hAnsi="Arial"/>
                <w:sz w:val="18"/>
                <w:szCs w:val="18"/>
                <w:color w:val="auto"/>
              </w:rPr>
              <w:t>OTHER INCOME (EXPENSE)</w:t>
            </w:r>
          </w:p>
        </w:tc>
        <w:tc>
          <w:tcPr>
            <w:tcW w:w="8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6,872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6,634</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23,691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27,292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526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7"/>
        </w:trPr>
        <w:tc>
          <w:tcPr>
            <w:tcW w:w="5260" w:type="dxa"/>
            <w:vAlign w:val="bottom"/>
            <w:vMerge w:val="restart"/>
          </w:tcPr>
          <w:p>
            <w:pPr>
              <w:ind w:left="180"/>
              <w:spacing w:after="0"/>
              <w:rPr>
                <w:sz w:val="20"/>
                <w:szCs w:val="20"/>
                <w:color w:val="auto"/>
              </w:rPr>
            </w:pPr>
            <w:r>
              <w:rPr>
                <w:rFonts w:ascii="Arial" w:cs="Arial" w:eastAsia="Arial" w:hAnsi="Arial"/>
                <w:sz w:val="18"/>
                <w:szCs w:val="18"/>
                <w:color w:val="auto"/>
              </w:rPr>
              <w:t>TOTAL OTHER INCOME (EXPENSE)</w:t>
            </w:r>
          </w:p>
        </w:tc>
        <w:tc>
          <w:tcPr>
            <w:tcW w:w="8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46"/>
        </w:trPr>
        <w:tc>
          <w:tcPr>
            <w:tcW w:w="526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6,872</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6,634</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23,691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27,129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2"/>
        </w:trPr>
        <w:tc>
          <w:tcPr>
            <w:tcW w:w="5260" w:type="dxa"/>
            <w:vAlign w:val="bottom"/>
          </w:tcPr>
          <w:p>
            <w:pPr>
              <w:spacing w:after="0"/>
              <w:rPr>
                <w:sz w:val="20"/>
                <w:szCs w:val="20"/>
                <w:color w:val="auto"/>
              </w:rPr>
            </w:pPr>
            <w:r>
              <w:rPr>
                <w:rFonts w:ascii="Arial" w:cs="Arial" w:eastAsia="Arial" w:hAnsi="Arial"/>
                <w:sz w:val="18"/>
                <w:szCs w:val="18"/>
                <w:color w:val="auto"/>
              </w:rPr>
              <w:t>LOSS BEFORE PROVISION FOR INCOME TAXES</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(622,786)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(242,584)</w:t>
            </w:r>
          </w:p>
        </w:tc>
        <w:tc>
          <w:tcPr>
            <w:tcW w:w="140" w:type="dxa"/>
            <w:vAlign w:val="bottom"/>
          </w:tcPr>
          <w:p>
            <w:pPr>
              <w:spacing w:after="0"/>
              <w:rPr>
                <w:sz w:val="24"/>
                <w:szCs w:val="24"/>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(1,866,970)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(1,186,453)</w:t>
            </w:r>
          </w:p>
        </w:tc>
        <w:tc>
          <w:tcPr>
            <w:tcW w:w="0" w:type="dxa"/>
            <w:vAlign w:val="bottom"/>
          </w:tcPr>
          <w:p>
            <w:pPr>
              <w:spacing w:after="0"/>
              <w:rPr>
                <w:sz w:val="1"/>
                <w:szCs w:val="1"/>
                <w:color w:val="auto"/>
              </w:rPr>
            </w:pPr>
          </w:p>
        </w:tc>
      </w:tr>
      <w:tr>
        <w:trPr>
          <w:trHeight w:val="453"/>
        </w:trPr>
        <w:tc>
          <w:tcPr>
            <w:tcW w:w="52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8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5260" w:type="dxa"/>
            <w:vAlign w:val="bottom"/>
          </w:tcPr>
          <w:p>
            <w:pPr>
              <w:spacing w:after="0"/>
              <w:rPr>
                <w:sz w:val="20"/>
                <w:szCs w:val="20"/>
                <w:color w:val="auto"/>
              </w:rPr>
            </w:pPr>
            <w:r>
              <w:rPr>
                <w:rFonts w:ascii="Arial" w:cs="Arial" w:eastAsia="Arial" w:hAnsi="Arial"/>
                <w:sz w:val="18"/>
                <w:szCs w:val="18"/>
                <w:color w:val="auto"/>
              </w:rPr>
              <w:t>NET LOSS</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(622,786</w:t>
            </w:r>
            <w:r>
              <w:rPr>
                <w:rFonts w:ascii="Arial" w:cs="Arial" w:eastAsia="Arial" w:hAnsi="Arial"/>
                <w:sz w:val="36"/>
                <w:szCs w:val="36"/>
                <w:color w:val="auto"/>
                <w:vertAlign w:val="superscript"/>
              </w:rPr>
              <w:t>)</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(242,584</w:t>
            </w:r>
            <w:r>
              <w:rPr>
                <w:rFonts w:ascii="Arial" w:cs="Arial" w:eastAsia="Arial" w:hAnsi="Arial"/>
                <w:sz w:val="36"/>
                <w:szCs w:val="36"/>
                <w:color w:val="auto"/>
                <w:vertAlign w:val="superscript"/>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(1,866,970</w:t>
            </w:r>
            <w:r>
              <w:rPr>
                <w:rFonts w:ascii="Arial" w:cs="Arial" w:eastAsia="Arial" w:hAnsi="Arial"/>
                <w:sz w:val="36"/>
                <w:szCs w:val="36"/>
                <w:color w:val="auto"/>
                <w:vertAlign w:val="superscript"/>
              </w:rPr>
              <w:t>)</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(1,186,453</w:t>
            </w:r>
            <w:r>
              <w:rPr>
                <w:rFonts w:ascii="Arial" w:cs="Arial" w:eastAsia="Arial" w:hAnsi="Arial"/>
                <w:sz w:val="36"/>
                <w:szCs w:val="36"/>
                <w:color w:val="auto"/>
                <w:vertAlign w:val="superscript"/>
              </w:rPr>
              <w:t>)</w:t>
            </w:r>
          </w:p>
        </w:tc>
        <w:tc>
          <w:tcPr>
            <w:tcW w:w="0" w:type="dxa"/>
            <w:vAlign w:val="bottom"/>
          </w:tcPr>
          <w:p>
            <w:pPr>
              <w:spacing w:after="0"/>
              <w:rPr>
                <w:sz w:val="1"/>
                <w:szCs w:val="1"/>
                <w:color w:val="auto"/>
              </w:rPr>
            </w:pPr>
          </w:p>
        </w:tc>
      </w:tr>
      <w:tr>
        <w:trPr>
          <w:trHeight w:val="21"/>
        </w:trPr>
        <w:tc>
          <w:tcPr>
            <w:tcW w:w="5260" w:type="dxa"/>
            <w:vAlign w:val="bottom"/>
            <w:vMerge w:val="restart"/>
          </w:tcPr>
          <w:p>
            <w:pPr>
              <w:spacing w:after="0"/>
              <w:rPr>
                <w:sz w:val="20"/>
                <w:szCs w:val="20"/>
                <w:color w:val="auto"/>
              </w:rPr>
            </w:pPr>
            <w:r>
              <w:rPr>
                <w:rFonts w:ascii="Arial" w:cs="Arial" w:eastAsia="Arial" w:hAnsi="Arial"/>
                <w:sz w:val="18"/>
                <w:szCs w:val="18"/>
                <w:color w:val="auto"/>
              </w:rPr>
              <w:t>WEIGHTED AVERGE NUMBER OF SHARES OUTSTANDING</w:t>
            </w:r>
          </w:p>
        </w:tc>
        <w:tc>
          <w:tcPr>
            <w:tcW w:w="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8"/>
        </w:trPr>
        <w:tc>
          <w:tcPr>
            <w:tcW w:w="526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5260" w:type="dxa"/>
            <w:vAlign w:val="bottom"/>
          </w:tcPr>
          <w:p>
            <w:pPr>
              <w:ind w:left="180"/>
              <w:spacing w:after="0"/>
              <w:rPr>
                <w:sz w:val="20"/>
                <w:szCs w:val="20"/>
                <w:color w:val="auto"/>
              </w:rPr>
            </w:pPr>
            <w:r>
              <w:rPr>
                <w:rFonts w:ascii="Arial" w:cs="Arial" w:eastAsia="Arial" w:hAnsi="Arial"/>
                <w:sz w:val="18"/>
                <w:szCs w:val="18"/>
                <w:color w:val="auto"/>
              </w:rPr>
              <w:t>BASIC AND DILUTED</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29,256,367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29,433,846</w:t>
            </w:r>
          </w:p>
        </w:tc>
        <w:tc>
          <w:tcPr>
            <w:tcW w:w="140" w:type="dxa"/>
            <w:vAlign w:val="bottom"/>
          </w:tcPr>
          <w:p>
            <w:pPr>
              <w:spacing w:after="0"/>
              <w:rPr>
                <w:sz w:val="24"/>
                <w:szCs w:val="2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29,517,975</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29,374,319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260" w:type="dxa"/>
            <w:vAlign w:val="bottom"/>
            <w:vMerge w:val="restart"/>
          </w:tcPr>
          <w:p>
            <w:pPr>
              <w:spacing w:after="0"/>
              <w:rPr>
                <w:sz w:val="20"/>
                <w:szCs w:val="20"/>
                <w:color w:val="auto"/>
              </w:rPr>
            </w:pPr>
            <w:r>
              <w:rPr>
                <w:rFonts w:ascii="Arial" w:cs="Arial" w:eastAsia="Arial" w:hAnsi="Arial"/>
                <w:sz w:val="18"/>
                <w:szCs w:val="18"/>
                <w:color w:val="auto"/>
              </w:rPr>
              <w:t>NET LOSS PER SHARE</w:t>
            </w:r>
          </w:p>
        </w:tc>
        <w:tc>
          <w:tcPr>
            <w:tcW w:w="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8"/>
        </w:trPr>
        <w:tc>
          <w:tcPr>
            <w:tcW w:w="526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5260" w:type="dxa"/>
            <w:vAlign w:val="bottom"/>
          </w:tcPr>
          <w:p>
            <w:pPr>
              <w:ind w:left="180"/>
              <w:spacing w:after="0"/>
              <w:rPr>
                <w:sz w:val="20"/>
                <w:szCs w:val="20"/>
                <w:color w:val="auto"/>
              </w:rPr>
            </w:pPr>
            <w:r>
              <w:rPr>
                <w:rFonts w:ascii="Arial" w:cs="Arial" w:eastAsia="Arial" w:hAnsi="Arial"/>
                <w:sz w:val="18"/>
                <w:szCs w:val="18"/>
                <w:color w:val="auto"/>
              </w:rPr>
              <w:t>BASIC AND DILUTED</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0"/>
              <w:spacing w:after="0" w:line="271" w:lineRule="exact"/>
              <w:rPr>
                <w:sz w:val="20"/>
                <w:szCs w:val="20"/>
                <w:color w:val="auto"/>
              </w:rPr>
            </w:pPr>
            <w:r>
              <w:rPr>
                <w:rFonts w:ascii="Arial" w:cs="Arial" w:eastAsia="Arial" w:hAnsi="Arial"/>
                <w:sz w:val="16"/>
                <w:szCs w:val="16"/>
                <w:color w:val="auto"/>
              </w:rPr>
              <w:t>(0.02</w:t>
            </w:r>
            <w:r>
              <w:rPr>
                <w:rFonts w:ascii="Arial" w:cs="Arial" w:eastAsia="Arial" w:hAnsi="Arial"/>
                <w:sz w:val="31"/>
                <w:szCs w:val="31"/>
                <w:color w:val="auto"/>
                <w:vertAlign w:val="superscript"/>
              </w:rPr>
              <w:t>)</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line="271" w:lineRule="exact"/>
              <w:rPr>
                <w:sz w:val="20"/>
                <w:szCs w:val="20"/>
                <w:color w:val="auto"/>
              </w:rPr>
            </w:pPr>
            <w:r>
              <w:rPr>
                <w:rFonts w:ascii="Arial" w:cs="Arial" w:eastAsia="Arial" w:hAnsi="Arial"/>
                <w:sz w:val="16"/>
                <w:szCs w:val="16"/>
                <w:color w:val="auto"/>
              </w:rPr>
              <w:t>(0.01</w:t>
            </w:r>
            <w:r>
              <w:rPr>
                <w:rFonts w:ascii="Arial" w:cs="Arial" w:eastAsia="Arial" w:hAnsi="Arial"/>
                <w:sz w:val="31"/>
                <w:szCs w:val="31"/>
                <w:color w:val="auto"/>
                <w:vertAlign w:val="superscript"/>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80"/>
              <w:spacing w:after="0" w:line="271" w:lineRule="exact"/>
              <w:rPr>
                <w:sz w:val="20"/>
                <w:szCs w:val="20"/>
                <w:color w:val="auto"/>
              </w:rPr>
            </w:pPr>
            <w:r>
              <w:rPr>
                <w:rFonts w:ascii="Arial" w:cs="Arial" w:eastAsia="Arial" w:hAnsi="Arial"/>
                <w:sz w:val="16"/>
                <w:szCs w:val="16"/>
                <w:color w:val="auto"/>
              </w:rPr>
              <w:t>(0.06</w:t>
            </w:r>
            <w:r>
              <w:rPr>
                <w:rFonts w:ascii="Arial" w:cs="Arial" w:eastAsia="Arial" w:hAnsi="Arial"/>
                <w:sz w:val="31"/>
                <w:szCs w:val="31"/>
                <w:color w:val="auto"/>
                <w:vertAlign w:val="superscript"/>
              </w:rPr>
              <w:t>)</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line="271" w:lineRule="exact"/>
              <w:rPr>
                <w:sz w:val="20"/>
                <w:szCs w:val="20"/>
                <w:color w:val="auto"/>
              </w:rPr>
            </w:pPr>
            <w:r>
              <w:rPr>
                <w:rFonts w:ascii="Arial" w:cs="Arial" w:eastAsia="Arial" w:hAnsi="Arial"/>
                <w:sz w:val="16"/>
                <w:szCs w:val="16"/>
                <w:color w:val="auto"/>
              </w:rPr>
              <w:t>(0.04</w:t>
            </w:r>
            <w:r>
              <w:rPr>
                <w:rFonts w:ascii="Arial" w:cs="Arial" w:eastAsia="Arial" w:hAnsi="Arial"/>
                <w:sz w:val="31"/>
                <w:szCs w:val="31"/>
                <w:color w:val="auto"/>
                <w:vertAlign w:val="superscript"/>
              </w:rPr>
              <w:t>)</w:t>
            </w:r>
          </w:p>
        </w:tc>
        <w:tc>
          <w:tcPr>
            <w:tcW w:w="0" w:type="dxa"/>
            <w:vAlign w:val="bottom"/>
          </w:tcPr>
          <w:p>
            <w:pPr>
              <w:spacing w:after="0"/>
              <w:rPr>
                <w:sz w:val="1"/>
                <w:szCs w:val="1"/>
                <w:color w:val="auto"/>
              </w:rPr>
            </w:pPr>
          </w:p>
        </w:tc>
      </w:tr>
      <w:tr>
        <w:trPr>
          <w:trHeight w:val="21"/>
        </w:trPr>
        <w:tc>
          <w:tcPr>
            <w:tcW w:w="5260" w:type="dxa"/>
            <w:vAlign w:val="bottom"/>
          </w:tcPr>
          <w:p>
            <w:pPr>
              <w:spacing w:after="0" w:line="20" w:lineRule="exact"/>
              <w:rPr>
                <w:sz w:val="1"/>
                <w:szCs w:val="1"/>
                <w:color w:val="auto"/>
              </w:rPr>
            </w:pPr>
          </w:p>
        </w:tc>
        <w:tc>
          <w:tcPr>
            <w:tcW w:w="820" w:type="dxa"/>
            <w:vAlign w:val="bottom"/>
            <w:vMerge w:val="restart"/>
          </w:tcPr>
          <w:p>
            <w:pPr>
              <w:jc w:val="right"/>
              <w:ind w:right="230"/>
              <w:spacing w:after="0"/>
              <w:rPr>
                <w:sz w:val="20"/>
                <w:szCs w:val="20"/>
                <w:color w:val="auto"/>
              </w:rPr>
            </w:pPr>
            <w:r>
              <w:rPr>
                <w:rFonts w:ascii="Arial" w:cs="Arial" w:eastAsia="Arial" w:hAnsi="Arial"/>
                <w:sz w:val="18"/>
                <w:szCs w:val="18"/>
                <w:color w:val="auto"/>
              </w:rPr>
              <w:t>5</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5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OptimizeRx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Doug Baker, 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dbaker@optimizerx.com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Ron Both, CMA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(949) 432-7557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oprx@cma.team</w:t>
      </w:r>
    </w:p>
    <w:p>
      <w:pPr>
        <w:spacing w:after="0" w:line="319"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0219"/>
      </w:cols>
      <w:pgMar w:left="240" w:top="101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2019-12-29T03:36:15Z</dcterms:created>
  <dcterms:modified xsi:type="dcterms:W3CDTF">2019-12-29T03:36:15Z</dcterms:modified>
</cp:coreProperties>
</file>