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740" w:type="dxa"/>
            <w:vAlign w:val="bottom"/>
            <w:gridSpan w:val="7"/>
          </w:tcPr>
          <w:p>
            <w:pPr>
              <w:ind w:left="60"/>
              <w:spacing w:after="0"/>
              <w:rPr>
                <w:sz w:val="20"/>
                <w:szCs w:val="20"/>
                <w:color w:val="auto"/>
              </w:rPr>
            </w:pPr>
            <w:r>
              <w:rPr>
                <w:rFonts w:ascii="Arial" w:cs="Arial" w:eastAsia="Arial" w:hAnsi="Arial"/>
                <w:sz w:val="14"/>
                <w:szCs w:val="14"/>
                <w:color w:val="auto"/>
                <w:w w:val="98"/>
              </w:rPr>
              <w:t>1. Name and Address of Reporting Person</w:t>
            </w:r>
            <w:r>
              <w:rPr>
                <w:rFonts w:ascii="Arial" w:cs="Arial" w:eastAsia="Arial" w:hAnsi="Arial"/>
                <w:sz w:val="22"/>
                <w:szCs w:val="22"/>
                <w:color w:val="auto"/>
                <w:w w:val="98"/>
                <w:vertAlign w:val="superscript"/>
              </w:rPr>
              <w:t>*</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Radoff Bradley Louis</w:t>
              </w:r>
            </w:hyperlink>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OptimizeRx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OPRX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1177 WEST LOOP SOUTH</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5"/>
          </w:tcPr>
          <w:p>
            <w:pPr>
              <w:ind w:left="160"/>
              <w:spacing w:after="0"/>
              <w:rPr>
                <w:sz w:val="20"/>
                <w:szCs w:val="20"/>
                <w:color w:val="auto"/>
              </w:rPr>
            </w:pPr>
            <w:r>
              <w:rPr>
                <w:rFonts w:ascii="Arial" w:cs="Arial" w:eastAsia="Arial" w:hAnsi="Arial"/>
                <w:sz w:val="18"/>
                <w:szCs w:val="18"/>
                <w:color w:val="0000FF"/>
              </w:rPr>
              <w:t>07/24/2014</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1625</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rPr>
              <w:t>77027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9"/>
          </w:tcPr>
          <w:p>
            <w:pPr>
              <w:jc w:val="center"/>
              <w:ind w:right="21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540" w:type="dxa"/>
            <w:vAlign w:val="bottom"/>
            <w:gridSpan w:val="5"/>
          </w:tcPr>
          <w:p>
            <w:pPr>
              <w:ind w:left="4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5"/>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7"/>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40" w:type="dxa"/>
            <w:vAlign w:val="bottom"/>
            <w:gridSpan w:val="5"/>
            <w:vMerge w:val="restart"/>
          </w:tcPr>
          <w:p>
            <w:pPr>
              <w:ind w:left="580"/>
              <w:spacing w:after="0"/>
              <w:rPr>
                <w:sz w:val="20"/>
                <w:szCs w:val="20"/>
                <w:color w:val="auto"/>
              </w:rPr>
            </w:pPr>
            <w:r>
              <w:rPr>
                <w:rFonts w:ascii="Arial" w:cs="Arial" w:eastAsia="Arial" w:hAnsi="Arial"/>
                <w:sz w:val="18"/>
                <w:szCs w:val="18"/>
                <w:color w:val="0000FF"/>
              </w:rPr>
              <w:t>07/24/2014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ind w:left="120"/>
              <w:spacing w:after="0"/>
              <w:rPr>
                <w:sz w:val="20"/>
                <w:szCs w:val="20"/>
                <w:color w:val="auto"/>
              </w:rPr>
            </w:pPr>
            <w:r>
              <w:rPr>
                <w:rFonts w:ascii="Arial" w:cs="Arial" w:eastAsia="Arial" w:hAnsi="Arial"/>
                <w:sz w:val="18"/>
                <w:szCs w:val="18"/>
                <w:color w:val="0000FF"/>
                <w:w w:val="98"/>
              </w:rPr>
              <w:t>631,100</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920" w:type="dxa"/>
            <w:vAlign w:val="bottom"/>
            <w:gridSpan w:val="4"/>
            <w:vMerge w:val="restart"/>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1.4095</w:t>
            </w:r>
            <w:r>
              <w:rPr>
                <w:rFonts w:ascii="Arial" w:cs="Arial" w:eastAsia="Arial" w:hAnsi="Arial"/>
                <w:sz w:val="22"/>
                <w:szCs w:val="22"/>
                <w:color w:val="008000"/>
                <w:w w:val="91"/>
                <w:vertAlign w:val="superscript"/>
              </w:rPr>
              <w:t>(1)</w:t>
            </w:r>
          </w:p>
        </w:tc>
        <w:tc>
          <w:tcPr>
            <w:tcW w:w="1220" w:type="dxa"/>
            <w:vAlign w:val="bottom"/>
            <w:gridSpan w:val="2"/>
            <w:vMerge w:val="restart"/>
          </w:tcPr>
          <w:p>
            <w:pPr>
              <w:ind w:left="240"/>
              <w:spacing w:after="0"/>
              <w:rPr>
                <w:sz w:val="20"/>
                <w:szCs w:val="20"/>
                <w:color w:val="auto"/>
              </w:rPr>
            </w:pPr>
            <w:r>
              <w:rPr>
                <w:rFonts w:ascii="Arial" w:cs="Arial" w:eastAsia="Arial" w:hAnsi="Arial"/>
                <w:sz w:val="18"/>
                <w:szCs w:val="18"/>
                <w:color w:val="0000FF"/>
              </w:rPr>
              <w:t>2,289,200</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left="4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20" w:type="dxa"/>
            <w:vAlign w:val="bottom"/>
            <w:gridSpan w:val="15"/>
          </w:tcPr>
          <w:p>
            <w:pPr>
              <w:jc w:val="center"/>
              <w:ind w:left="1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$1.4095 is the weighted average sale price for the 631,100 shares sold on July 24, 2014. The shares were sold in 8 transactions at prices ranging from $1.40 to $1.50 per share, inclusive. The reporting person will provide, upon request by the SEC staff, the issuer, or any security holder of the issuer, full information regarding the number of shares sold at each separate price.</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/s/ Bradley Louis Radoff</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07/24/2014</w:t>
            </w:r>
          </w:p>
        </w:tc>
      </w:tr>
      <w:tr>
        <w:trPr>
          <w:trHeight w:val="20"/>
        </w:trPr>
        <w:tc>
          <w:tcPr>
            <w:tcW w:w="1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585"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2019-12-18T13:46:01Z</dcterms:created>
  <dcterms:modified xsi:type="dcterms:W3CDTF">2019-12-18T13:46:01Z</dcterms:modified>
</cp:coreProperties>
</file>