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February 14, 2018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4540" w:type="dxa"/>
            <w:vAlign w:val="bottom"/>
            <w:gridSpan w:val="3"/>
          </w:tcPr>
          <w:p>
            <w:pPr>
              <w:jc w:val="center"/>
              <w:ind w:right="860"/>
              <w:spacing w:after="0"/>
              <w:rPr>
                <w:sz w:val="20"/>
                <w:szCs w:val="20"/>
                <w:color w:val="auto"/>
              </w:rPr>
            </w:pPr>
            <w:r>
              <w:rPr>
                <w:rFonts w:ascii="Arial" w:cs="Arial" w:eastAsia="Arial" w:hAnsi="Arial"/>
                <w:sz w:val="18"/>
                <w:szCs w:val="18"/>
                <w:color w:val="auto"/>
                <w:w w:val="90"/>
              </w:rPr>
              <w:t>Nevada</w:t>
            </w:r>
          </w:p>
        </w:tc>
        <w:tc>
          <w:tcPr>
            <w:tcW w:w="3020" w:type="dxa"/>
            <w:vAlign w:val="bottom"/>
            <w:gridSpan w:val="3"/>
          </w:tcPr>
          <w:p>
            <w:pPr>
              <w:jc w:val="right"/>
              <w:ind w:right="1440"/>
              <w:spacing w:after="0"/>
              <w:rPr>
                <w:sz w:val="20"/>
                <w:szCs w:val="20"/>
                <w:color w:val="auto"/>
              </w:rPr>
            </w:pPr>
            <w:r>
              <w:rPr>
                <w:rFonts w:ascii="Arial" w:cs="Arial" w:eastAsia="Arial" w:hAnsi="Arial"/>
                <w:sz w:val="18"/>
                <w:szCs w:val="18"/>
                <w:color w:val="auto"/>
              </w:rPr>
              <w:t>000-53605</w:t>
            </w:r>
          </w:p>
        </w:tc>
        <w:tc>
          <w:tcPr>
            <w:tcW w:w="220" w:type="dxa"/>
            <w:vAlign w:val="bottom"/>
          </w:tcPr>
          <w:p>
            <w:pPr>
              <w:spacing w:after="0"/>
              <w:rPr>
                <w:sz w:val="21"/>
                <w:szCs w:val="21"/>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26-1265381</w:t>
            </w:r>
          </w:p>
        </w:tc>
      </w:tr>
      <w:tr>
        <w:trPr>
          <w:trHeight w:val="202"/>
        </w:trPr>
        <w:tc>
          <w:tcPr>
            <w:tcW w:w="3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w:t>
            </w:r>
          </w:p>
        </w:tc>
        <w:tc>
          <w:tcPr>
            <w:tcW w:w="24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640"/>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3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540" w:type="dxa"/>
            <w:vAlign w:val="bottom"/>
            <w:gridSpan w:val="3"/>
          </w:tcPr>
          <w:p>
            <w:pPr>
              <w:jc w:val="center"/>
              <w:ind w:right="860"/>
              <w:spacing w:after="0"/>
              <w:rPr>
                <w:sz w:val="20"/>
                <w:szCs w:val="20"/>
                <w:color w:val="auto"/>
              </w:rPr>
            </w:pPr>
            <w:r>
              <w:rPr>
                <w:rFonts w:ascii="Arial" w:cs="Arial" w:eastAsia="Arial" w:hAnsi="Arial"/>
                <w:sz w:val="18"/>
                <w:szCs w:val="18"/>
                <w:color w:val="auto"/>
                <w:w w:val="95"/>
              </w:rPr>
              <w:t>of incorporation)</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53"/>
        </w:trPr>
        <w:tc>
          <w:tcPr>
            <w:tcW w:w="4540" w:type="dxa"/>
            <w:vAlign w:val="bottom"/>
            <w:tcBorders>
              <w:bottom w:val="single" w:sz="8" w:color="auto"/>
            </w:tcBorders>
            <w:gridSpan w:val="3"/>
          </w:tcPr>
          <w:p>
            <w:pPr>
              <w:jc w:val="center"/>
              <w:ind w:left="990"/>
              <w:spacing w:after="0"/>
              <w:rPr>
                <w:sz w:val="20"/>
                <w:szCs w:val="20"/>
                <w:color w:val="auto"/>
              </w:rPr>
            </w:pPr>
            <w:r>
              <w:rPr>
                <w:rFonts w:ascii="Arial" w:cs="Arial" w:eastAsia="Arial" w:hAnsi="Arial"/>
                <w:sz w:val="18"/>
                <w:szCs w:val="18"/>
                <w:color w:val="auto"/>
                <w:w w:val="90"/>
              </w:rPr>
              <w:t>400 Water Street, Suite 200, Rochester, MI</w:t>
            </w:r>
          </w:p>
        </w:tc>
        <w:tc>
          <w:tcPr>
            <w:tcW w:w="10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454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ind w:right="187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289560</wp:posOffset>
            </wp:positionV>
            <wp:extent cx="43478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4784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February 14, 2018, we issued a press release announcing the details of our earnings conference call, to be held on Tuesday, February 27, 2018 at 4:30 p.m.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ET.</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press release is furnished with this Current Report on Form 8-K as Exhibit 99.1. The information furnished under this Item 2.02 and Item 9.01 of this Current Report on Form 8-K, including Exhibit 99.1,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regardless of any general incorporation by reference language in such filing, except as shall be expressly set forth by specific reference in any such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spacing w:after="0"/>
        <w:tabs>
          <w:tab w:leader="none" w:pos="11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February 14,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9877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15, 2018</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165735</wp:posOffset>
            </wp:positionV>
            <wp:extent cx="2152650" cy="4286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265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Sets Fourth Quarter and Full Year 2017 Conference Call for Tuesday, February 27, 2018 at 4:30 p.m. ET</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Rochester, MI (February 14, 2018) — </w:t>
      </w:r>
      <w:r>
        <w:rPr>
          <w:rFonts w:ascii="Arial" w:cs="Arial" w:eastAsia="Arial" w:hAnsi="Arial"/>
          <w:sz w:val="18"/>
          <w:szCs w:val="18"/>
          <w:u w:val="single" w:color="auto"/>
          <w:color w:val="auto"/>
        </w:rPr>
        <w:t>OptimizeRx Corp.</w:t>
      </w:r>
      <w:r>
        <w:rPr>
          <w:rFonts w:ascii="Arial" w:cs="Arial" w:eastAsia="Arial" w:hAnsi="Arial"/>
          <w:sz w:val="18"/>
          <w:szCs w:val="18"/>
          <w:b w:val="1"/>
          <w:bCs w:val="1"/>
          <w:color w:val="auto"/>
        </w:rPr>
        <w:t xml:space="preserve"> </w:t>
      </w:r>
      <w:r>
        <w:rPr>
          <w:rFonts w:ascii="Arial" w:cs="Arial" w:eastAsia="Arial" w:hAnsi="Arial"/>
          <w:sz w:val="18"/>
          <w:szCs w:val="18"/>
          <w:color w:val="auto"/>
        </w:rPr>
        <w:t>(OTCQB: OPRX), a leading provider of digital health messaging to the pharmaceutical industry,</w:t>
      </w:r>
      <w:r>
        <w:rPr>
          <w:rFonts w:ascii="Arial" w:cs="Arial" w:eastAsia="Arial" w:hAnsi="Arial"/>
          <w:sz w:val="18"/>
          <w:szCs w:val="18"/>
          <w:b w:val="1"/>
          <w:bCs w:val="1"/>
          <w:color w:val="auto"/>
        </w:rPr>
        <w:t xml:space="preserve"> </w:t>
      </w:r>
      <w:r>
        <w:rPr>
          <w:rFonts w:ascii="Arial" w:cs="Arial" w:eastAsia="Arial" w:hAnsi="Arial"/>
          <w:sz w:val="18"/>
          <w:szCs w:val="18"/>
          <w:color w:val="auto"/>
        </w:rPr>
        <w:t>will hold a conference call on Tuesday, February 27, 2018 at 4:30 p.m. Eastern time to discuss results for the fourth quarter and full year ended December 31, 2017. The financial results will be issued in a press release prior to the call.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OptimizeRx management will host the presentation, followed by a question and answer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Tuesday, February 27,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4:30 p.m. Eastern time (1:30 p.m. Pacific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Toll-free dial-in number: 1-800-281-7829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1-323-794-2094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3911642</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Please call the conference telephone number five minutes prior to the start time. An operator will register your name and organization. If you have any difficulty connecting with the conference call, please contact CMA at 1-949-432-7566.</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replay of the call will be available after 7:30 p.m. Eastern time on the same day through March 20, 2018, as well as available for replay via the Investors section of the OptimizeRx website at www.optimizerxcorp.com.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Toll-free replay number: 1-844-512-2921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replay number: 1-412-317-6671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Replay ID: 3911642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OptimizeRx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(OTCQB: OPRX) is the nation’s leading provider of digital health messaging via electronic health records (EHRs), providing a direct channel for pharma companies to communicate with healthcare providers. The company’s cloud-based solution supports patient adherence to medications by providing real-time access to financial assistance, prior authorization, education, and critical clinical information. The company’s network is comprised of leading EHR platforms like Allscripts, Amazing Charts and Quest, and provides more than half a million healthcare providers access to these benefits within their workflow at the point of care. For more information, follow the company on </w:t>
      </w:r>
      <w:r>
        <w:rPr>
          <w:rFonts w:ascii="Arial" w:cs="Arial" w:eastAsia="Arial" w:hAnsi="Arial"/>
          <w:sz w:val="17"/>
          <w:szCs w:val="17"/>
          <w:u w:val="single" w:color="auto"/>
          <w:color w:val="auto"/>
        </w:rPr>
        <w:t>Twitter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LinkedIn</w:t>
      </w:r>
      <w:r>
        <w:rPr>
          <w:rFonts w:ascii="Arial" w:cs="Arial" w:eastAsia="Arial" w:hAnsi="Arial"/>
          <w:sz w:val="17"/>
          <w:szCs w:val="17"/>
          <w:color w:val="auto"/>
        </w:rPr>
        <w:t xml:space="preserve"> or visit </w:t>
      </w:r>
      <w:r>
        <w:rPr>
          <w:rFonts w:ascii="Arial" w:cs="Arial" w:eastAsia="Arial" w:hAnsi="Arial"/>
          <w:sz w:val="17"/>
          <w:szCs w:val="17"/>
          <w:u w:val="single" w:color="auto"/>
          <w:color w:val="auto"/>
        </w:rPr>
        <w:t>www.optimizerx.com</w:t>
      </w:r>
      <w:r>
        <w:rPr>
          <w:rFonts w:ascii="Arial" w:cs="Arial" w:eastAsia="Arial" w:hAnsi="Arial"/>
          <w:sz w:val="17"/>
          <w:szCs w:val="17"/>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2019-12-29T01:25:20Z</dcterms:created>
  <dcterms:modified xsi:type="dcterms:W3CDTF">2019-12-29T01:25:20Z</dcterms:modified>
</cp:coreProperties>
</file>