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Vos Ellen O'Connor</w:t>
              </w:r>
            </w:hyperlink>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7"/>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52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09/29/2022</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OPTIMIZERX CORPORATION</w:t>
            </w:r>
          </w:p>
        </w:tc>
        <w:tc>
          <w:tcPr>
            <w:tcW w:w="15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w w:val="92"/>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ROCHESTER   MI</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09/29/2022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334</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ind w:left="2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33,724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92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334</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Arial" w:cs="Arial" w:eastAsia="Arial" w:hAnsi="Arial"/>
                <w:sz w:val="13"/>
                <w:szCs w:val="13"/>
                <w:color w:val="0000FF"/>
              </w:rPr>
              <w:t>09/29/2022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334</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29, 2021 the reporting person was granted 334 restricted stock units which vested in full on September 29, 2022.</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20"/>
        <w:spacing w:after="0" w:line="253"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w w:val="97"/>
              </w:rPr>
              <w:t>/s/ Marion Odence-Ford, by</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09/30/2022</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1"/>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2022-09-30T16:11:32Z</dcterms:created>
  <dcterms:modified xsi:type="dcterms:W3CDTF">2022-09-30T16:11:32Z</dcterms:modified>
</cp:coreProperties>
</file>