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6" w:lineRule="exact"/>
        <w:rPr>
          <w:sz w:val="24"/>
          <w:szCs w:val="24"/>
          <w:color w:val="auto"/>
        </w:rPr>
      </w:pPr>
    </w:p>
    <w:p>
      <w:pPr>
        <w:ind w:left="360"/>
        <w:spacing w:after="0" w:line="22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-231775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3"/>
        </w:trPr>
        <w:tc>
          <w:tcPr>
            <w:tcW w:w="6280" w:type="dxa"/>
            <w:vAlign w:val="bottom"/>
          </w:tcPr>
          <w:p>
            <w:pPr>
              <w:jc w:val="center"/>
              <w:ind w:right="19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3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628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5254625</wp:posOffset>
            </wp:positionH>
            <wp:positionV relativeFrom="paragraph">
              <wp:posOffset>-623570</wp:posOffset>
            </wp:positionV>
            <wp:extent cx="57785" cy="6369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690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-623570</wp:posOffset>
            </wp:positionV>
            <wp:extent cx="57785" cy="636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90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15240</wp:posOffset>
            </wp:positionV>
            <wp:extent cx="6994525" cy="4891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4525" cy="4891405"/>
                    </a:xfrm>
                    <a:prstGeom prst="rect">
                      <a:avLst/>
                    </a:prstGeom>
                    <a:noFill/>
                  </pic:spPr>
                </pic:pic>
              </a:graphicData>
            </a:graphic>
          </wp:anchor>
        </w:drawing>
      </w:r>
    </w:p>
    <w:p>
      <w:pPr>
        <w:spacing w:after="0" w:line="94" w:lineRule="exact"/>
        <w:rPr>
          <w:sz w:val="24"/>
          <w:szCs w:val="24"/>
          <w:color w:val="auto"/>
        </w:rPr>
      </w:pPr>
    </w:p>
    <w:p>
      <w:pPr>
        <w:sectPr>
          <w:pgSz w:w="11900" w:h="16838" w:orient="portrait"/>
          <w:cols w:equalWidth="0" w:num="2">
            <w:col w:w="2240" w:space="340"/>
            <w:col w:w="850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Stelmakh Edward</w:t>
        </w:r>
      </w:hyperlink>
    </w:p>
    <w:p>
      <w:pPr>
        <w:spacing w:after="0" w:line="30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400 WATER STREET</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OptimizeRx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OPRX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color w:val="0000FF"/>
        </w:rPr>
        <w:t>10/11/2021</w:t>
      </w:r>
    </w:p>
    <w:p>
      <w:pPr>
        <w:spacing w:after="0" w:line="20" w:lineRule="exact"/>
        <w:rPr>
          <w:sz w:val="24"/>
          <w:szCs w:val="24"/>
          <w:color w:val="auto"/>
        </w:rPr>
      </w:pPr>
      <w:r>
        <w:rPr>
          <w:sz w:val="24"/>
          <w:szCs w:val="24"/>
          <w:color w:val="auto"/>
        </w:rPr>
        <w:br w:type="column"/>
      </w:r>
    </w:p>
    <w:p>
      <w:pPr>
        <w:spacing w:after="0" w:line="6" w:lineRule="exact"/>
        <w:rPr>
          <w:sz w:val="24"/>
          <w:szCs w:val="24"/>
          <w:color w:val="auto"/>
        </w:rPr>
      </w:pPr>
    </w:p>
    <w:p>
      <w:pPr>
        <w:ind w:left="-10" w:right="640" w:firstLine="10"/>
        <w:spacing w:after="0" w:line="237" w:lineRule="auto"/>
        <w:tabs>
          <w:tab w:leader="none" w:pos="13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190" w:type="dxa"/>
        <w:tblCellMar>
          <w:top w:w="0" w:type="dxa"/>
          <w:left w:w="0" w:type="dxa"/>
          <w:bottom w:w="0" w:type="dxa"/>
          <w:right w:w="0" w:type="dxa"/>
        </w:tblCellMar>
      </w:tblPr>
      <w:tr>
        <w:trPr>
          <w:trHeight w:val="154"/>
        </w:trPr>
        <w:tc>
          <w:tcPr>
            <w:tcW w:w="240" w:type="dxa"/>
            <w:vAlign w:val="bottom"/>
          </w:tcPr>
          <w:p>
            <w:pPr>
              <w:spacing w:after="0"/>
              <w:rPr>
                <w:sz w:val="13"/>
                <w:szCs w:val="13"/>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0"/>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4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4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1090"/>
        <w:spacing w:after="0"/>
        <w:rPr>
          <w:sz w:val="20"/>
          <w:szCs w:val="20"/>
          <w:color w:val="auto"/>
        </w:rPr>
      </w:pPr>
      <w:r>
        <w:rPr>
          <w:rFonts w:ascii="Arial" w:cs="Arial" w:eastAsia="Arial" w:hAnsi="Arial"/>
          <w:sz w:val="17"/>
          <w:szCs w:val="17"/>
          <w:color w:val="0000FF"/>
        </w:rPr>
        <w:t>COO and CFO</w:t>
      </w:r>
    </w:p>
    <w:p>
      <w:pPr>
        <w:spacing w:after="0" w:line="386" w:lineRule="exact"/>
        <w:rPr>
          <w:sz w:val="24"/>
          <w:szCs w:val="24"/>
          <w:color w:val="auto"/>
        </w:rPr>
      </w:pPr>
    </w:p>
    <w:p>
      <w:pPr>
        <w:sectPr>
          <w:pgSz w:w="11900" w:h="16838" w:orient="portrait"/>
          <w:cols w:equalWidth="0" w:num="3">
            <w:col w:w="3180" w:space="720"/>
            <w:col w:w="3110" w:space="720"/>
            <w:col w:w="3350"/>
          </w:cols>
          <w:pgMar w:left="460" w:top="221" w:right="359" w:bottom="1440" w:gutter="0" w:footer="0" w:header="0"/>
          <w:type w:val="continuous"/>
        </w:sect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112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3700" w:type="dxa"/>
            <w:vAlign w:val="bottom"/>
            <w:gridSpan w:val="7"/>
          </w:tcPr>
          <w:p>
            <w:pPr>
              <w:ind w:left="140"/>
              <w:spacing w:after="0" w:line="140" w:lineRule="exact"/>
              <w:rPr>
                <w:sz w:val="20"/>
                <w:szCs w:val="20"/>
                <w:color w:val="auto"/>
              </w:rPr>
            </w:pPr>
            <w:r>
              <w:rPr>
                <w:rFonts w:ascii="Arial" w:cs="Arial" w:eastAsia="Arial" w:hAnsi="Arial"/>
                <w:sz w:val="13"/>
                <w:szCs w:val="13"/>
                <w:color w:val="auto"/>
              </w:rPr>
              <w:t>4. If Amendment, Date of Original Filed (Month/Day/Year)</w:t>
            </w:r>
          </w:p>
        </w:tc>
        <w:tc>
          <w:tcPr>
            <w:tcW w:w="3620" w:type="dxa"/>
            <w:vAlign w:val="bottom"/>
            <w:gridSpan w:val="10"/>
          </w:tcPr>
          <w:p>
            <w:pPr>
              <w:ind w:left="260"/>
              <w:spacing w:after="0" w:line="140"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gridSpan w:val="2"/>
          </w:tcPr>
          <w:p>
            <w:pPr>
              <w:ind w:left="26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20" w:type="dxa"/>
            <w:vAlign w:val="bottom"/>
            <w:gridSpan w:val="10"/>
            <w:vMerge w:val="restart"/>
          </w:tcPr>
          <w:p>
            <w:pPr>
              <w:ind w:left="4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ROCHESTER</w:t>
            </w:r>
          </w:p>
        </w:tc>
        <w:tc>
          <w:tcPr>
            <w:tcW w:w="200" w:type="dxa"/>
            <w:vAlign w:val="bottom"/>
            <w:vMerge w:val="restart"/>
          </w:tcPr>
          <w:p>
            <w:pPr>
              <w:spacing w:after="0"/>
              <w:rPr>
                <w:sz w:val="20"/>
                <w:szCs w:val="20"/>
                <w:color w:val="auto"/>
              </w:rPr>
            </w:pPr>
            <w:r>
              <w:rPr>
                <w:rFonts w:ascii="Arial" w:cs="Arial" w:eastAsia="Arial" w:hAnsi="Arial"/>
                <w:sz w:val="17"/>
                <w:szCs w:val="17"/>
                <w:color w:val="0000FF"/>
                <w:w w:val="95"/>
              </w:rPr>
              <w:t>MI</w:t>
            </w:r>
          </w:p>
        </w:tc>
        <w:tc>
          <w:tcPr>
            <w:tcW w:w="980" w:type="dxa"/>
            <w:vAlign w:val="bottom"/>
          </w:tcPr>
          <w:p>
            <w:pPr>
              <w:spacing w:after="0"/>
              <w:rPr>
                <w:sz w:val="11"/>
                <w:szCs w:val="11"/>
                <w:color w:val="auto"/>
              </w:rPr>
            </w:pPr>
          </w:p>
        </w:tc>
        <w:tc>
          <w:tcPr>
            <w:tcW w:w="1120" w:type="dxa"/>
            <w:vAlign w:val="bottom"/>
            <w:vMerge w:val="restart"/>
          </w:tcPr>
          <w:p>
            <w:pPr>
              <w:ind w:left="40"/>
              <w:spacing w:after="0"/>
              <w:rPr>
                <w:sz w:val="20"/>
                <w:szCs w:val="20"/>
                <w:color w:val="auto"/>
              </w:rPr>
            </w:pPr>
            <w:r>
              <w:rPr>
                <w:rFonts w:ascii="Arial" w:cs="Arial" w:eastAsia="Arial" w:hAnsi="Arial"/>
                <w:sz w:val="17"/>
                <w:szCs w:val="17"/>
                <w:color w:val="0000FF"/>
              </w:rPr>
              <w:t>48307</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2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98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4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4"/>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1"/>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200" w:type="dxa"/>
            <w:vAlign w:val="bottom"/>
            <w:tcBorders>
              <w:top w:val="single" w:sz="8" w:color="2C2C2C"/>
            </w:tcBorders>
          </w:tcPr>
          <w:p>
            <w:pPr>
              <w:spacing w:after="0"/>
              <w:rPr>
                <w:sz w:val="20"/>
                <w:szCs w:val="20"/>
                <w:color w:val="auto"/>
              </w:rPr>
            </w:pPr>
          </w:p>
        </w:tc>
        <w:tc>
          <w:tcPr>
            <w:tcW w:w="7200" w:type="dxa"/>
            <w:vAlign w:val="bottom"/>
            <w:tcBorders>
              <w:top w:val="single" w:sz="8" w:color="2C2C2C"/>
            </w:tcBorders>
            <w:gridSpan w:val="14"/>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0"/>
                <w:szCs w:val="20"/>
                <w:color w:val="auto"/>
              </w:rPr>
            </w:pPr>
          </w:p>
        </w:tc>
        <w:tc>
          <w:tcPr>
            <w:tcW w:w="280" w:type="dxa"/>
            <w:vAlign w:val="bottom"/>
            <w:tcBorders>
              <w:top w:val="single" w:sz="8" w:color="2C2C2C"/>
            </w:tcBorders>
          </w:tcPr>
          <w:p>
            <w:pPr>
              <w:spacing w:after="0"/>
              <w:rPr>
                <w:sz w:val="20"/>
                <w:szCs w:val="20"/>
                <w:color w:val="auto"/>
              </w:rPr>
            </w:pPr>
          </w:p>
        </w:tc>
        <w:tc>
          <w:tcPr>
            <w:tcW w:w="66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20" w:type="dxa"/>
            <w:vAlign w:val="bottom"/>
          </w:tcPr>
          <w:p>
            <w:pPr>
              <w:ind w:left="800"/>
              <w:spacing w:after="0" w:line="125"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00" w:type="dxa"/>
            <w:vAlign w:val="bottom"/>
            <w:gridSpan w:val="2"/>
          </w:tcPr>
          <w:p>
            <w:pPr>
              <w:ind w:left="20"/>
              <w:spacing w:after="0" w:line="125"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0"/>
                <w:szCs w:val="10"/>
                <w:color w:val="auto"/>
              </w:rPr>
            </w:pPr>
          </w:p>
        </w:tc>
        <w:tc>
          <w:tcPr>
            <w:tcW w:w="2620" w:type="dxa"/>
            <w:vAlign w:val="bottom"/>
            <w:gridSpan w:val="5"/>
          </w:tcPr>
          <w:p>
            <w:pPr>
              <w:ind w:left="60"/>
              <w:spacing w:after="0" w:line="125" w:lineRule="exact"/>
              <w:rPr>
                <w:sz w:val="20"/>
                <w:szCs w:val="20"/>
                <w:color w:val="auto"/>
              </w:rPr>
            </w:pPr>
            <w:r>
              <w:rPr>
                <w:rFonts w:ascii="Arial" w:cs="Arial" w:eastAsia="Arial" w:hAnsi="Arial"/>
                <w:sz w:val="12"/>
                <w:szCs w:val="12"/>
                <w:b w:val="1"/>
                <w:bCs w:val="1"/>
                <w:color w:val="auto"/>
              </w:rPr>
              <w:t>Transaction  Disposed Of (D) (Instr. 3, 4 and</w:t>
            </w:r>
          </w:p>
        </w:tc>
        <w:tc>
          <w:tcPr>
            <w:tcW w:w="8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Code (Instr.</w:t>
            </w:r>
          </w:p>
        </w:tc>
        <w:tc>
          <w:tcPr>
            <w:tcW w:w="6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8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20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4"/>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0" w:type="dxa"/>
            <w:vAlign w:val="bottom"/>
            <w:tcBorders>
              <w:top w:val="single" w:sz="8" w:color="2C2C2C"/>
            </w:tcBorders>
          </w:tcPr>
          <w:p>
            <w:pPr>
              <w:spacing w:after="0"/>
              <w:rPr>
                <w:sz w:val="18"/>
                <w:szCs w:val="18"/>
                <w:color w:val="auto"/>
              </w:rPr>
            </w:pPr>
          </w:p>
        </w:tc>
        <w:tc>
          <w:tcPr>
            <w:tcW w:w="98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520" w:type="dxa"/>
            <w:vAlign w:val="bottom"/>
            <w:gridSpan w:val="11"/>
          </w:tcPr>
          <w:p>
            <w:pPr>
              <w:jc w:val="right"/>
              <w:ind w:right="2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5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5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00" w:type="dxa"/>
            <w:vAlign w:val="bottom"/>
            <w:gridSpan w:val="2"/>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40" w:type="dxa"/>
            <w:vAlign w:val="bottom"/>
            <w:vMerge w:val="restart"/>
          </w:tcPr>
          <w:p>
            <w:pPr>
              <w:jc w:val="right"/>
              <w:ind w:right="123"/>
              <w:spacing w:after="0"/>
              <w:rPr>
                <w:sz w:val="20"/>
                <w:szCs w:val="20"/>
                <w:color w:val="auto"/>
              </w:rPr>
            </w:pPr>
            <w:r>
              <w:rPr>
                <w:rFonts w:ascii="Arial" w:cs="Arial" w:eastAsia="Arial" w:hAnsi="Arial"/>
                <w:sz w:val="11"/>
                <w:szCs w:val="11"/>
                <w:color w:val="008000"/>
              </w:rPr>
              <w:t>(1)</w:t>
            </w: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gridSpan w:val="2"/>
            <w:vMerge w:val="restart"/>
          </w:tcPr>
          <w:p>
            <w:pPr>
              <w:jc w:val="right"/>
              <w:ind w:right="362"/>
              <w:spacing w:after="0"/>
              <w:rPr>
                <w:sz w:val="20"/>
                <w:szCs w:val="20"/>
                <w:color w:val="auto"/>
              </w:rPr>
            </w:pPr>
            <w:r>
              <w:rPr>
                <w:rFonts w:ascii="Arial" w:cs="Arial" w:eastAsia="Arial" w:hAnsi="Arial"/>
                <w:sz w:val="11"/>
                <w:szCs w:val="11"/>
                <w:color w:val="008000"/>
              </w:rPr>
              <w:t>(2)</w:t>
            </w:r>
          </w:p>
        </w:tc>
        <w:tc>
          <w:tcPr>
            <w:tcW w:w="660" w:type="dxa"/>
            <w:vAlign w:val="bottom"/>
            <w:vMerge w:val="restart"/>
          </w:tcPr>
          <w:p>
            <w:pPr>
              <w:jc w:val="right"/>
              <w:ind w:right="242"/>
              <w:spacing w:after="0"/>
              <w:rPr>
                <w:sz w:val="20"/>
                <w:szCs w:val="20"/>
                <w:color w:val="auto"/>
              </w:rPr>
            </w:pPr>
            <w:r>
              <w:rPr>
                <w:rFonts w:ascii="Arial" w:cs="Arial" w:eastAsia="Arial" w:hAnsi="Arial"/>
                <w:sz w:val="11"/>
                <w:szCs w:val="11"/>
                <w:color w:val="008000"/>
              </w:rPr>
              <w:t>(3)</w:t>
            </w: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spacing w:after="0"/>
              <w:rPr>
                <w:sz w:val="20"/>
                <w:szCs w:val="20"/>
                <w:color w:val="auto"/>
              </w:rPr>
            </w:pPr>
            <w:r>
              <w:rPr>
                <w:rFonts w:ascii="Arial" w:cs="Arial" w:eastAsia="Arial" w:hAnsi="Arial"/>
                <w:sz w:val="17"/>
                <w:szCs w:val="17"/>
                <w:color w:val="0000FF"/>
                <w:w w:val="96"/>
              </w:rPr>
              <w:t>24,664</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80" w:type="dxa"/>
            <w:vAlign w:val="bottom"/>
            <w:gridSpan w:val="2"/>
          </w:tcPr>
          <w:p>
            <w:pPr>
              <w:ind w:left="60"/>
              <w:spacing w:after="0" w:line="124" w:lineRule="exact"/>
              <w:rPr>
                <w:sz w:val="20"/>
                <w:szCs w:val="20"/>
                <w:color w:val="auto"/>
              </w:rPr>
            </w:pPr>
            <w:r>
              <w:rPr>
                <w:rFonts w:ascii="Arial" w:cs="Arial" w:eastAsia="Arial" w:hAnsi="Arial"/>
                <w:sz w:val="13"/>
                <w:szCs w:val="13"/>
                <w:color w:val="0000FF"/>
              </w:rPr>
              <w:t>Stock</w:t>
            </w:r>
          </w:p>
        </w:tc>
        <w:tc>
          <w:tcPr>
            <w:tcW w:w="64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jc w:val="right"/>
              <w:ind w:right="156"/>
              <w:spacing w:after="0" w:line="124" w:lineRule="exact"/>
              <w:rPr>
                <w:sz w:val="20"/>
                <w:szCs w:val="20"/>
                <w:color w:val="auto"/>
              </w:rPr>
            </w:pPr>
            <w:r>
              <w:rPr>
                <w:rFonts w:ascii="Arial" w:cs="Arial" w:eastAsia="Arial" w:hAnsi="Arial"/>
                <w:sz w:val="13"/>
                <w:szCs w:val="13"/>
                <w:color w:val="0000FF"/>
              </w:rPr>
              <w:t>10/11/2021</w:t>
            </w: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ind w:left="40"/>
              <w:spacing w:after="0" w:line="124" w:lineRule="exact"/>
              <w:rPr>
                <w:sz w:val="20"/>
                <w:szCs w:val="20"/>
                <w:color w:val="auto"/>
              </w:rPr>
            </w:pPr>
            <w:r>
              <w:rPr>
                <w:rFonts w:ascii="Arial" w:cs="Arial" w:eastAsia="Arial" w:hAnsi="Arial"/>
                <w:sz w:val="13"/>
                <w:szCs w:val="13"/>
                <w:color w:val="0000FF"/>
              </w:rPr>
              <w:t>A</w:t>
            </w:r>
          </w:p>
        </w:tc>
        <w:tc>
          <w:tcPr>
            <w:tcW w:w="560" w:type="dxa"/>
            <w:vAlign w:val="bottom"/>
          </w:tcPr>
          <w:p>
            <w:pPr>
              <w:ind w:left="140"/>
              <w:spacing w:after="0" w:line="124" w:lineRule="exact"/>
              <w:rPr>
                <w:sz w:val="20"/>
                <w:szCs w:val="20"/>
                <w:color w:val="auto"/>
              </w:rPr>
            </w:pPr>
            <w:r>
              <w:rPr>
                <w:rFonts w:ascii="Arial" w:cs="Arial" w:eastAsia="Arial" w:hAnsi="Arial"/>
                <w:sz w:val="13"/>
                <w:szCs w:val="13"/>
                <w:color w:val="0000FF"/>
              </w:rPr>
              <w:t>24,664</w:t>
            </w:r>
          </w:p>
        </w:tc>
        <w:tc>
          <w:tcPr>
            <w:tcW w:w="34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tcPr>
          <w:p>
            <w:pPr>
              <w:ind w:left="140"/>
              <w:spacing w:after="0" w:line="125"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580" w:type="dxa"/>
            <w:vAlign w:val="bottom"/>
          </w:tcPr>
          <w:p>
            <w:pPr>
              <w:ind w:left="220"/>
              <w:spacing w:after="0" w:line="124" w:lineRule="exact"/>
              <w:rPr>
                <w:sz w:val="20"/>
                <w:szCs w:val="20"/>
                <w:color w:val="auto"/>
              </w:rPr>
            </w:pPr>
            <w:r>
              <w:rPr>
                <w:rFonts w:ascii="Arial" w:cs="Arial" w:eastAsia="Arial" w:hAnsi="Arial"/>
                <w:sz w:val="13"/>
                <w:szCs w:val="13"/>
                <w:color w:val="0000FF"/>
                <w:w w:val="85"/>
              </w:rPr>
              <w:t>24,664</w:t>
            </w:r>
          </w:p>
        </w:tc>
        <w:tc>
          <w:tcPr>
            <w:tcW w:w="280" w:type="dxa"/>
            <w:vAlign w:val="bottom"/>
          </w:tcPr>
          <w:p>
            <w:pPr>
              <w:spacing w:after="0"/>
              <w:rPr>
                <w:sz w:val="10"/>
                <w:szCs w:val="10"/>
                <w:color w:val="auto"/>
              </w:rPr>
            </w:pPr>
          </w:p>
        </w:tc>
        <w:tc>
          <w:tcPr>
            <w:tcW w:w="660" w:type="dxa"/>
            <w:vAlign w:val="bottom"/>
          </w:tcPr>
          <w:p>
            <w:pPr>
              <w:ind w:left="320"/>
              <w:spacing w:after="0" w:line="124"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ind w:left="160"/>
              <w:spacing w:after="0" w:line="141" w:lineRule="exact"/>
              <w:rPr>
                <w:sz w:val="20"/>
                <w:szCs w:val="20"/>
                <w:color w:val="auto"/>
              </w:rPr>
            </w:pPr>
            <w:r>
              <w:rPr>
                <w:rFonts w:ascii="Arial" w:cs="Arial" w:eastAsia="Arial" w:hAnsi="Arial"/>
                <w:sz w:val="13"/>
                <w:szCs w:val="13"/>
                <w:color w:val="0000FF"/>
              </w:rPr>
              <w:t>Stock</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81.09</w:t>
            </w:r>
          </w:p>
        </w:tc>
        <w:tc>
          <w:tcPr>
            <w:tcW w:w="200" w:type="dxa"/>
            <w:vAlign w:val="bottom"/>
          </w:tcPr>
          <w:p>
            <w:pPr>
              <w:spacing w:after="0"/>
              <w:rPr>
                <w:sz w:val="21"/>
                <w:szCs w:val="21"/>
                <w:color w:val="auto"/>
              </w:rPr>
            </w:pPr>
          </w:p>
        </w:tc>
        <w:tc>
          <w:tcPr>
            <w:tcW w:w="980" w:type="dxa"/>
            <w:vAlign w:val="bottom"/>
          </w:tcPr>
          <w:p>
            <w:pPr>
              <w:jc w:val="right"/>
              <w:ind w:right="156"/>
              <w:spacing w:after="0"/>
              <w:rPr>
                <w:sz w:val="20"/>
                <w:szCs w:val="20"/>
                <w:color w:val="auto"/>
              </w:rPr>
            </w:pPr>
            <w:r>
              <w:rPr>
                <w:rFonts w:ascii="Arial" w:cs="Arial" w:eastAsia="Arial" w:hAnsi="Arial"/>
                <w:sz w:val="13"/>
                <w:szCs w:val="13"/>
                <w:color w:val="0000FF"/>
              </w:rPr>
              <w:t>10/11/2021</w:t>
            </w: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Arial" w:cs="Arial" w:eastAsia="Arial" w:hAnsi="Arial"/>
                <w:sz w:val="13"/>
                <w:szCs w:val="13"/>
                <w:color w:val="0000FF"/>
              </w:rPr>
              <w:t>A</w:t>
            </w:r>
          </w:p>
        </w:tc>
        <w:tc>
          <w:tcPr>
            <w:tcW w:w="560" w:type="dxa"/>
            <w:vAlign w:val="bottom"/>
          </w:tcPr>
          <w:p>
            <w:pPr>
              <w:ind w:left="140"/>
              <w:spacing w:after="0"/>
              <w:rPr>
                <w:sz w:val="20"/>
                <w:szCs w:val="20"/>
                <w:color w:val="auto"/>
              </w:rPr>
            </w:pPr>
            <w:r>
              <w:rPr>
                <w:rFonts w:ascii="Arial" w:cs="Arial" w:eastAsia="Arial" w:hAnsi="Arial"/>
                <w:sz w:val="13"/>
                <w:szCs w:val="13"/>
                <w:color w:val="0000FF"/>
              </w:rPr>
              <w:t>25,191</w:t>
            </w:r>
          </w:p>
        </w:tc>
        <w:tc>
          <w:tcPr>
            <w:tcW w:w="340" w:type="dxa"/>
            <w:vAlign w:val="bottom"/>
          </w:tcPr>
          <w:p>
            <w:pPr>
              <w:spacing w:after="0"/>
              <w:rPr>
                <w:sz w:val="21"/>
                <w:szCs w:val="21"/>
                <w:color w:val="auto"/>
              </w:rPr>
            </w:pPr>
          </w:p>
        </w:tc>
        <w:tc>
          <w:tcPr>
            <w:tcW w:w="840" w:type="dxa"/>
            <w:vAlign w:val="bottom"/>
            <w:gridSpan w:val="2"/>
          </w:tcPr>
          <w:p>
            <w:pPr>
              <w:jc w:val="center"/>
              <w:ind w:right="42"/>
              <w:spacing w:after="0"/>
              <w:rPr>
                <w:sz w:val="20"/>
                <w:szCs w:val="20"/>
                <w:color w:val="auto"/>
              </w:rPr>
            </w:pPr>
            <w:r>
              <w:rPr>
                <w:rFonts w:ascii="Arial" w:cs="Arial" w:eastAsia="Arial" w:hAnsi="Arial"/>
                <w:sz w:val="13"/>
                <w:szCs w:val="13"/>
                <w:color w:val="0000FF"/>
                <w:w w:val="85"/>
              </w:rPr>
              <w:t>10/11/2022</w:t>
            </w:r>
            <w:r>
              <w:rPr>
                <w:rFonts w:ascii="Arial" w:cs="Arial" w:eastAsia="Arial" w:hAnsi="Arial"/>
                <w:sz w:val="21"/>
                <w:szCs w:val="21"/>
                <w:color w:val="008000"/>
                <w:w w:val="85"/>
                <w:vertAlign w:val="superscript"/>
              </w:rPr>
              <w:t>(4)</w:t>
            </w:r>
          </w:p>
        </w:tc>
        <w:tc>
          <w:tcPr>
            <w:tcW w:w="660" w:type="dxa"/>
            <w:vAlign w:val="bottom"/>
          </w:tcPr>
          <w:p>
            <w:pPr>
              <w:jc w:val="right"/>
              <w:ind w:right="2"/>
              <w:spacing w:after="0"/>
              <w:rPr>
                <w:sz w:val="20"/>
                <w:szCs w:val="20"/>
                <w:color w:val="auto"/>
              </w:rPr>
            </w:pPr>
            <w:r>
              <w:rPr>
                <w:rFonts w:ascii="Arial" w:cs="Arial" w:eastAsia="Arial" w:hAnsi="Arial"/>
                <w:sz w:val="13"/>
                <w:szCs w:val="13"/>
                <w:color w:val="0000FF"/>
                <w:w w:val="89"/>
              </w:rPr>
              <w:t>10/11/2026</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tcPr>
          <w:p>
            <w:pPr>
              <w:spacing w:after="0"/>
              <w:rPr>
                <w:sz w:val="20"/>
                <w:szCs w:val="20"/>
                <w:color w:val="auto"/>
              </w:rPr>
            </w:pPr>
            <w:r>
              <w:rPr>
                <w:rFonts w:ascii="Arial" w:cs="Arial" w:eastAsia="Arial" w:hAnsi="Arial"/>
                <w:sz w:val="17"/>
                <w:szCs w:val="17"/>
                <w:color w:val="0000FF"/>
                <w:w w:val="96"/>
              </w:rPr>
              <w:t>25,191</w:t>
            </w:r>
          </w:p>
        </w:tc>
        <w:tc>
          <w:tcPr>
            <w:tcW w:w="60" w:type="dxa"/>
            <w:vAlign w:val="bottom"/>
          </w:tcPr>
          <w:p>
            <w:pPr>
              <w:spacing w:after="0"/>
              <w:rPr>
                <w:sz w:val="21"/>
                <w:szCs w:val="21"/>
                <w:color w:val="auto"/>
              </w:rPr>
            </w:pPr>
          </w:p>
        </w:tc>
        <w:tc>
          <w:tcPr>
            <w:tcW w:w="70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580" w:type="dxa"/>
            <w:vAlign w:val="bottom"/>
          </w:tcPr>
          <w:p>
            <w:pPr>
              <w:ind w:left="220"/>
              <w:spacing w:after="0"/>
              <w:rPr>
                <w:sz w:val="20"/>
                <w:szCs w:val="20"/>
                <w:color w:val="auto"/>
              </w:rPr>
            </w:pPr>
            <w:r>
              <w:rPr>
                <w:rFonts w:ascii="Arial" w:cs="Arial" w:eastAsia="Arial" w:hAnsi="Arial"/>
                <w:sz w:val="13"/>
                <w:szCs w:val="13"/>
                <w:color w:val="0000FF"/>
                <w:w w:val="85"/>
              </w:rPr>
              <w:t>25,191</w:t>
            </w:r>
          </w:p>
        </w:tc>
        <w:tc>
          <w:tcPr>
            <w:tcW w:w="280" w:type="dxa"/>
            <w:vAlign w:val="bottom"/>
          </w:tcPr>
          <w:p>
            <w:pPr>
              <w:spacing w:after="0"/>
              <w:rPr>
                <w:sz w:val="21"/>
                <w:szCs w:val="21"/>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147"/>
        </w:trPr>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gridSpan w:val="2"/>
          </w:tcPr>
          <w:p>
            <w:pPr>
              <w:ind w:left="60"/>
              <w:spacing w:after="0" w:line="141" w:lineRule="exact"/>
              <w:rPr>
                <w:sz w:val="20"/>
                <w:szCs w:val="20"/>
                <w:color w:val="auto"/>
              </w:rPr>
            </w:pPr>
            <w:r>
              <w:rPr>
                <w:rFonts w:ascii="Arial" w:cs="Arial" w:eastAsia="Arial" w:hAnsi="Arial"/>
                <w:sz w:val="13"/>
                <w:szCs w:val="13"/>
                <w:color w:val="0000FF"/>
              </w:rPr>
              <w:t>Option</w:t>
            </w:r>
          </w:p>
        </w:tc>
        <w:tc>
          <w:tcPr>
            <w:tcW w:w="6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98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ind w:left="160"/>
              <w:spacing w:after="0" w:line="141" w:lineRule="exact"/>
              <w:rPr>
                <w:sz w:val="20"/>
                <w:szCs w:val="20"/>
                <w:color w:val="auto"/>
              </w:rPr>
            </w:pPr>
            <w:r>
              <w:rPr>
                <w:rFonts w:ascii="Arial" w:cs="Arial" w:eastAsia="Arial" w:hAnsi="Arial"/>
                <w:sz w:val="13"/>
                <w:szCs w:val="13"/>
                <w:color w:val="0000FF"/>
              </w:rPr>
              <w:t>Stock</w:t>
            </w:r>
          </w:p>
        </w:tc>
        <w:tc>
          <w:tcPr>
            <w:tcW w:w="5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-2261870</wp:posOffset>
            </wp:positionV>
            <wp:extent cx="29210" cy="22669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266950"/>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4"/>
          <w:szCs w:val="24"/>
          <w:color w:val="auto"/>
        </w:rPr>
      </w:pPr>
    </w:p>
    <w:p>
      <w:pPr>
        <w:ind w:left="160" w:hanging="119"/>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the issuer's common stock.</w:t>
      </w:r>
    </w:p>
    <w:p>
      <w:pPr>
        <w:spacing w:after="0" w:line="43" w:lineRule="exact"/>
        <w:rPr>
          <w:rFonts w:ascii="Arial" w:cs="Arial" w:eastAsia="Arial" w:hAnsi="Arial"/>
          <w:sz w:val="13"/>
          <w:szCs w:val="13"/>
          <w:color w:val="008000"/>
        </w:rPr>
      </w:pPr>
    </w:p>
    <w:p>
      <w:pPr>
        <w:ind w:left="40" w:right="340" w:firstLine="1"/>
        <w:spacing w:after="0" w:line="238"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Grant to the Reporting Person of restricted stock units under the OptimizeRx Corp. 2021 Equity Incentive Plan. The restricted stock units granted will vest 1/3 at the end of each anniversary from issuance, subject to continued service to the issuer through the vesting date. This restricted stock units granted are subject to accelerated vesting in the event that the recipient is subject to a qualified termination within a specified period of time prior to or following the closing of a change in control transaction.</w:t>
      </w:r>
    </w:p>
    <w:p>
      <w:pPr>
        <w:spacing w:after="0" w:line="30" w:lineRule="exact"/>
        <w:rPr>
          <w:rFonts w:ascii="Arial" w:cs="Arial" w:eastAsia="Arial" w:hAnsi="Arial"/>
          <w:sz w:val="13"/>
          <w:szCs w:val="13"/>
          <w:color w:val="008000"/>
        </w:rPr>
      </w:pPr>
    </w:p>
    <w:p>
      <w:pPr>
        <w:ind w:left="160" w:hanging="119"/>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Not applicable.</w:t>
      </w:r>
    </w:p>
    <w:p>
      <w:pPr>
        <w:spacing w:after="0" w:line="43" w:lineRule="exact"/>
        <w:rPr>
          <w:rFonts w:ascii="Arial" w:cs="Arial" w:eastAsia="Arial" w:hAnsi="Arial"/>
          <w:sz w:val="13"/>
          <w:szCs w:val="13"/>
          <w:color w:val="008000"/>
        </w:rPr>
      </w:pPr>
    </w:p>
    <w:p>
      <w:pPr>
        <w:ind w:left="160" w:hanging="119"/>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Stock Option will vest 1/3 at the end of each anniversary from issuance.</w:t>
      </w:r>
    </w:p>
    <w:p>
      <w:pPr>
        <w:spacing w:after="0" w:line="4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400" w:type="dxa"/>
            <w:vAlign w:val="bottom"/>
          </w:tcPr>
          <w:p>
            <w:pPr>
              <w:spacing w:after="0"/>
              <w:rPr>
                <w:sz w:val="20"/>
                <w:szCs w:val="20"/>
                <w:color w:val="auto"/>
              </w:rPr>
            </w:pPr>
            <w:r>
              <w:rPr>
                <w:rFonts w:ascii="Arial" w:cs="Arial" w:eastAsia="Arial" w:hAnsi="Arial"/>
                <w:sz w:val="17"/>
                <w:szCs w:val="17"/>
                <w:color w:val="0000FF"/>
                <w:w w:val="88"/>
              </w:rPr>
              <w:t>/s/ Edward Stelmakh</w:t>
            </w:r>
          </w:p>
        </w:tc>
        <w:tc>
          <w:tcPr>
            <w:tcW w:w="620" w:type="dxa"/>
            <w:vAlign w:val="bottom"/>
          </w:tcPr>
          <w:p>
            <w:pPr>
              <w:spacing w:after="0"/>
              <w:rPr>
                <w:sz w:val="16"/>
                <w:szCs w:val="16"/>
                <w:color w:val="auto"/>
              </w:rPr>
            </w:pPr>
          </w:p>
        </w:tc>
        <w:tc>
          <w:tcPr>
            <w:tcW w:w="940" w:type="dxa"/>
            <w:vAlign w:val="bottom"/>
            <w:gridSpan w:val="2"/>
          </w:tcPr>
          <w:p>
            <w:pPr>
              <w:ind w:left="180"/>
              <w:spacing w:after="0"/>
              <w:rPr>
                <w:sz w:val="20"/>
                <w:szCs w:val="20"/>
                <w:color w:val="auto"/>
              </w:rPr>
            </w:pPr>
            <w:r>
              <w:rPr>
                <w:rFonts w:ascii="Arial" w:cs="Arial" w:eastAsia="Arial" w:hAnsi="Arial"/>
                <w:sz w:val="17"/>
                <w:szCs w:val="17"/>
                <w:color w:val="0000FF"/>
                <w:w w:val="86"/>
              </w:rPr>
              <w:t>10/13/2021</w:t>
            </w:r>
          </w:p>
        </w:tc>
      </w:tr>
      <w:tr>
        <w:trPr>
          <w:trHeight w:val="20"/>
        </w:trPr>
        <w:tc>
          <w:tcPr>
            <w:tcW w:w="14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3"/>
        </w:trPr>
        <w:tc>
          <w:tcPr>
            <w:tcW w:w="20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1"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87046" TargetMode="External"/><Relationship Id="rId13"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2021-10-13T15:47:19Z</dcterms:created>
  <dcterms:modified xsi:type="dcterms:W3CDTF">2021-10-13T15:47:19Z</dcterms:modified>
</cp:coreProperties>
</file>