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June 18, 2024</w:t>
      </w:r>
    </w:p>
    <w:p>
      <w:pPr>
        <w:spacing w:after="0" w:line="27" w:lineRule="exact"/>
        <w:rPr>
          <w:sz w:val="24"/>
          <w:szCs w:val="24"/>
          <w:color w:val="auto"/>
        </w:rPr>
      </w:pPr>
    </w:p>
    <w:p>
      <w:pPr>
        <w:ind w:left="8680"/>
        <w:spacing w:after="0"/>
        <w:rPr>
          <w:sz w:val="20"/>
          <w:szCs w:val="20"/>
          <w:color w:val="auto"/>
        </w:rPr>
      </w:pPr>
      <w:r>
        <w:rPr>
          <w:rFonts w:ascii="Times New Roman" w:cs="Times New Roman" w:eastAsia="Times New Roman" w:hAnsi="Times New Roman"/>
          <w:sz w:val="18"/>
          <w:szCs w:val="18"/>
          <w:b w:val="1"/>
          <w:bCs w:val="1"/>
          <w:color w:val="auto"/>
        </w:rPr>
        <w:t>Commission 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OptimizeRx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56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6680" w:type="dxa"/>
            <w:vAlign w:val="bottom"/>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4560" w:type="dxa"/>
            <w:vAlign w:val="bottom"/>
            <w:tcBorders>
              <w:top w:val="single" w:sz="8" w:color="auto"/>
            </w:tcBorders>
          </w:tcPr>
          <w:p>
            <w:pPr>
              <w:jc w:val="center"/>
              <w:ind w:left="99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5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456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260 Charles Street, Suite 302, Waltham, MA</w:t>
            </w:r>
          </w:p>
        </w:tc>
        <w:tc>
          <w:tcPr>
            <w:tcW w:w="6680" w:type="dxa"/>
            <w:vAlign w:val="bottom"/>
            <w:gridSpan w:val="3"/>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234"/>
        </w:trPr>
        <w:tc>
          <w:tcPr>
            <w:tcW w:w="4560" w:type="dxa"/>
            <w:vAlign w:val="bottom"/>
            <w:tcBorders>
              <w:top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8"/>
        </w:trPr>
        <w:tc>
          <w:tcPr>
            <w:tcW w:w="4560" w:type="dxa"/>
            <w:vAlign w:val="bottom"/>
          </w:tcPr>
          <w:p>
            <w:pPr>
              <w:spacing w:after="0"/>
              <w:rPr>
                <w:sz w:val="24"/>
                <w:szCs w:val="24"/>
                <w:color w:val="auto"/>
              </w:rPr>
            </w:pPr>
          </w:p>
        </w:tc>
        <w:tc>
          <w:tcPr>
            <w:tcW w:w="6680" w:type="dxa"/>
            <w:vAlign w:val="bottom"/>
            <w:gridSpan w:val="3"/>
          </w:tcPr>
          <w:p>
            <w:pPr>
              <w:jc w:val="center"/>
              <w:ind w:right="445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220"/>
        </w:trPr>
        <w:tc>
          <w:tcPr>
            <w:tcW w:w="4560" w:type="dxa"/>
            <w:vAlign w:val="bottom"/>
          </w:tcPr>
          <w:p>
            <w:pPr>
              <w:spacing w:after="0"/>
              <w:rPr>
                <w:sz w:val="19"/>
                <w:szCs w:val="19"/>
                <w:color w:val="auto"/>
              </w:rPr>
            </w:pPr>
          </w:p>
        </w:tc>
        <w:tc>
          <w:tcPr>
            <w:tcW w:w="6680" w:type="dxa"/>
            <w:vAlign w:val="bottom"/>
            <w:gridSpan w:val="3"/>
          </w:tcPr>
          <w:p>
            <w:pPr>
              <w:jc w:val="center"/>
              <w:ind w:right="447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tc>
      </w:tr>
      <w:tr>
        <w:trPr>
          <w:trHeight w:val="234"/>
        </w:trPr>
        <w:tc>
          <w:tcPr>
            <w:tcW w:w="4560" w:type="dxa"/>
            <w:vAlign w:val="bottom"/>
          </w:tcPr>
          <w:p>
            <w:pPr>
              <w:spacing w:after="0"/>
              <w:rPr>
                <w:sz w:val="20"/>
                <w:szCs w:val="20"/>
                <w:color w:val="auto"/>
              </w:rPr>
            </w:pPr>
          </w:p>
        </w:tc>
        <w:tc>
          <w:tcPr>
            <w:tcW w:w="6680" w:type="dxa"/>
            <w:vAlign w:val="bottom"/>
            <w:gridSpan w:val="3"/>
          </w:tcPr>
          <w:p>
            <w:pPr>
              <w:jc w:val="center"/>
              <w:ind w:right="4470"/>
              <w:spacing w:after="0"/>
              <w:rPr>
                <w:sz w:val="20"/>
                <w:szCs w:val="20"/>
                <w:color w:val="auto"/>
              </w:rPr>
            </w:pPr>
            <w:r>
              <w:rPr>
                <w:rFonts w:ascii="Times New Roman" w:cs="Times New Roman" w:eastAsia="Times New Roman" w:hAnsi="Times New Roman"/>
                <w:sz w:val="18"/>
                <w:szCs w:val="18"/>
                <w:color w:val="auto"/>
              </w:rPr>
              <w:t>(Full title of the plan)</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Marion Odence-Ford, Esquire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Counsel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260 Charles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302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Waltham, MA 02453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(248) 651-6568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ind w:left="3800"/>
        <w:spacing w:after="0"/>
        <w:rPr>
          <w:sz w:val="20"/>
          <w:szCs w:val="20"/>
          <w:color w:val="auto"/>
        </w:rPr>
      </w:pPr>
      <w:r>
        <w:rPr>
          <w:rFonts w:ascii="Times New Roman" w:cs="Times New Roman" w:eastAsia="Times New Roman" w:hAnsi="Times New Roman"/>
          <w:sz w:val="18"/>
          <w:szCs w:val="18"/>
          <w:b w:val="1"/>
          <w:bCs w:val="1"/>
          <w:color w:val="auto"/>
        </w:rPr>
        <w:t>REGISTRATION OF ADDITIONAL SHARES</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PURSUANT TO GENERAL INSTRUCTION 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General Instruction E of Form S-8, the Registrant hereby makes the following statement: This Registration Statement on Form S-8 is being filed by the Registrant to register an additional 1,950,000 shares of its common stock which, pursuant to an amendment to the Registrant’s 2021 Equity Incentive Plan (the “Plan”), are issuable upon the grant, exercise or vesting of awards under the Plan. These 1,950,000 shares are in addition to the 2,500,000 shares of the Registrant’s common stock which were previously registered pursuant to the Registrant’s Registration Statement on Form S-8 (Commission File No. 333-259218) filed with the Securities and Exchange Commission (the “Commission”) on August 31, 2021 (the “Prior Registration Statement”). Pursuant to Instruction E of Form S-8, the contents of the Prior Registration Statement are hereby incorporated by reference.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as filed with the Commission, are incorporated by reference into this Registration Statement by the Registrant:</w:t>
      </w:r>
    </w:p>
    <w:p>
      <w:pPr>
        <w:spacing w:after="0" w:line="225" w:lineRule="exact"/>
        <w:rPr>
          <w:sz w:val="20"/>
          <w:szCs w:val="20"/>
          <w:color w:val="auto"/>
        </w:rPr>
      </w:pPr>
    </w:p>
    <w:p>
      <w:pPr>
        <w:ind w:left="980" w:hanging="648"/>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on April 15, 2024 (including information specifically incorporated by reference therein from the Registrant’s Definitive Proxy Statement on Schedule 14A, filed on April 29, 2024);</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 ended </w:t>
      </w:r>
      <w:hyperlink r:id="rId17">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filed on May 15, 2024;</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filed on </w:t>
      </w:r>
      <w:hyperlink r:id="rId18">
        <w:r>
          <w:rPr>
            <w:rFonts w:ascii="Times New Roman" w:cs="Times New Roman" w:eastAsia="Times New Roman" w:hAnsi="Times New Roman"/>
            <w:sz w:val="18"/>
            <w:szCs w:val="18"/>
            <w:u w:val="single" w:color="auto"/>
            <w:color w:val="0000EE"/>
          </w:rPr>
          <w:t>January 5, 2024</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January 26, 2024</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April 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(solely with respect to Item 1.01) and </w:t>
      </w:r>
      <w:hyperlink r:id="rId21">
        <w:r>
          <w:rPr>
            <w:rFonts w:ascii="Times New Roman" w:cs="Times New Roman" w:eastAsia="Times New Roman" w:hAnsi="Times New Roman"/>
            <w:sz w:val="18"/>
            <w:szCs w:val="18"/>
            <w:u w:val="single" w:color="auto"/>
            <w:color w:val="0000EE"/>
          </w:rPr>
          <w:t>June 7, 2024</w:t>
        </w:r>
      </w:hyperlink>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0000EE"/>
        </w:rPr>
      </w:pPr>
    </w:p>
    <w:p>
      <w:pPr>
        <w:ind w:left="980" w:hanging="648"/>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Current Report on </w:t>
      </w:r>
      <w:hyperlink r:id="rId22">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August 31, 2021.</w:t>
      </w:r>
    </w:p>
    <w:p>
      <w:pPr>
        <w:spacing w:after="0" w:line="225"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documents filed by the Registrant with the Commission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of this Registration Statement from the date of the filing of such documents.</w:t>
      </w:r>
    </w:p>
    <w:p>
      <w:pPr>
        <w:spacing w:after="0" w:line="180"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that any information contained in any Current Report on Form 8-K, or any exhibit thereto, is or was furnished to, rather than filed with, the Commission, such information or exhibit is specifically not incorporated by reference.</w:t>
      </w:r>
    </w:p>
    <w:p>
      <w:pPr>
        <w:spacing w:after="0" w:line="37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exhibits are filed as part of this Registration Statement or, where so indicated have been previously filed and are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tcBorders>
            <w:gridSpan w:val="12"/>
            <w:shd w:val="clear" w:color="auto" w:fill="CCEEFF"/>
          </w:tcPr>
          <w:p>
            <w:pPr>
              <w:spacing w:after="0" w:line="169"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Articles of Incorporation of the Registrant (incorporated by reference to Exhibit 3.1 of the Registrant’s Registration Statement on Form S-1,</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92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as filed with the Commission on November 12, 2008).</w:t>
              </w:r>
            </w:hyperlink>
          </w:p>
        </w:tc>
        <w:tc>
          <w:tcPr>
            <w:tcW w:w="6180" w:type="dxa"/>
            <w:vAlign w:val="bottom"/>
            <w:tcBorders>
              <w:bottom w:val="single" w:sz="8" w:color="CCEEFF"/>
            </w:tcBorders>
            <w:gridSpan w:val="8"/>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Certificate of Correction of the Registrant, dated April 30, 2018 (incorporated by reference to Exhibit 3.5 of the Registrant’s Annual Report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on Form 10-K for the fiscal year ended December 31, 2018, as filed with the Commission on March 12, 2019).</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5"/>
                <w:szCs w:val="15"/>
                <w:color w:val="auto"/>
              </w:rPr>
            </w:pPr>
          </w:p>
        </w:tc>
        <w:tc>
          <w:tcPr>
            <w:tcW w:w="101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Third Amended and Restated Bylaws of the Registrant (incorporated by reference to Exhibit 3.3 of the Registrant’s Annual Report on Form</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340" w:type="dxa"/>
            <w:vAlign w:val="bottom"/>
            <w:tcBorders>
              <w:top w:val="single" w:sz="8" w:color="0000EE"/>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10-K for the fiscal year ended December 31, 2022, as filed with the Commission on March 10, 2023).</w:t>
              </w:r>
            </w:hyperlink>
          </w:p>
        </w:tc>
        <w:tc>
          <w:tcPr>
            <w:tcW w:w="274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OptimizeRx Corporation 2021 Equity Incentive Plan (incorporated by reference to Exhibit 10.1 of the Registrant’s Current Report on Form</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8-K, as filed with the Commission on August 25, 2021).</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5"/>
                <w:szCs w:val="15"/>
                <w:color w:val="auto"/>
              </w:rPr>
            </w:pPr>
          </w:p>
        </w:tc>
        <w:tc>
          <w:tcPr>
            <w:tcW w:w="101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Amendment No. 1 to the OptimizeRx 2021 Equity Incentive Plan (incorporated by reference to Exhibit 10.1 of the Registrant’s Current</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Report on Form 8-K, as filed with the Commission on June 7, 2024).</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tcPr>
          <w:p>
            <w:pPr>
              <w:spacing w:after="0"/>
              <w:rPr>
                <w:sz w:val="15"/>
                <w:szCs w:val="15"/>
                <w:color w:val="auto"/>
              </w:rPr>
            </w:pPr>
          </w:p>
        </w:tc>
        <w:tc>
          <w:tcPr>
            <w:tcW w:w="49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Opinion of The Doney Law Firm.</w:t>
            </w:r>
          </w:p>
        </w:tc>
        <w:tc>
          <w:tcPr>
            <w:tcW w:w="5140" w:type="dxa"/>
            <w:vAlign w:val="bottom"/>
            <w:tcBorders>
              <w:top w:val="single" w:sz="8" w:color="CCEEFF"/>
            </w:tcBorders>
            <w:gridSpan w:val="5"/>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Consent of UHY LLP.</w:t>
            </w:r>
          </w:p>
        </w:tc>
        <w:tc>
          <w:tcPr>
            <w:tcW w:w="8480" w:type="dxa"/>
            <w:vAlign w:val="bottom"/>
            <w:tcBorders>
              <w:bottom w:val="single" w:sz="8" w:color="CCEEFF"/>
            </w:tcBorders>
            <w:gridSpan w:val="10"/>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Consent of The Doney Law Firm (included in Exhibit 5.1).</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17"/>
                <w:szCs w:val="17"/>
                <w:color w:val="auto"/>
              </w:rPr>
            </w:pPr>
          </w:p>
        </w:tc>
        <w:tc>
          <w:tcPr>
            <w:tcW w:w="59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Power of Attorney (included on the signature page of this Registration Statement).</w:t>
            </w:r>
          </w:p>
        </w:tc>
        <w:tc>
          <w:tcPr>
            <w:tcW w:w="4160" w:type="dxa"/>
            <w:vAlign w:val="bottom"/>
            <w:tcBorders>
              <w:bottom w:val="single" w:sz="8" w:color="CCEEFF"/>
            </w:tcBorders>
            <w:gridSpan w:val="4"/>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15"/>
                <w:szCs w:val="15"/>
                <w:color w:val="auto"/>
              </w:rPr>
            </w:pPr>
          </w:p>
        </w:tc>
        <w:tc>
          <w:tcPr>
            <w:tcW w:w="118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8"/>
              </w:rPr>
              <w:t>Filing Fee table.</w:t>
            </w:r>
          </w:p>
        </w:tc>
        <w:tc>
          <w:tcPr>
            <w:tcW w:w="8920" w:type="dxa"/>
            <w:vAlign w:val="bottom"/>
            <w:gridSpan w:val="11"/>
          </w:tcPr>
          <w:p>
            <w:pPr>
              <w:spacing w:after="0"/>
              <w:rPr>
                <w:sz w:val="15"/>
                <w:szCs w:val="15"/>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Waltham, Commonwealth of Massachusetts on June 18, 2024.</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Febbo</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William J. Febbo</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the undersigned officers and directors of OptimizeRx Corporation, hereby severally constitute and appoint William Febbo and Edward Stelmakh,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or she might or could do in person, hereby ratifying and confirming all that said attorneys-in-fact and agents or any of them, or their substitutes, may lawfully do or cause to be done by virtue hereof.</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Febbo</w:t>
            </w:r>
          </w:p>
        </w:tc>
        <w:tc>
          <w:tcPr>
            <w:tcW w:w="12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William J. Febbo</w:t>
            </w:r>
          </w:p>
        </w:tc>
        <w:tc>
          <w:tcPr>
            <w:tcW w:w="120" w:type="dxa"/>
            <w:vAlign w:val="bottom"/>
          </w:tcPr>
          <w:p>
            <w:pPr>
              <w:spacing w:after="0"/>
              <w:rPr>
                <w:sz w:val="20"/>
                <w:szCs w:val="20"/>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4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Stelmakh</w:t>
            </w:r>
          </w:p>
        </w:tc>
        <w:tc>
          <w:tcPr>
            <w:tcW w:w="120" w:type="dxa"/>
            <w:vAlign w:val="bottom"/>
          </w:tcPr>
          <w:p>
            <w:pPr>
              <w:spacing w:after="0"/>
              <w:rPr>
                <w:sz w:val="24"/>
                <w:szCs w:val="24"/>
                <w:color w:val="auto"/>
              </w:rPr>
            </w:pPr>
          </w:p>
        </w:tc>
        <w:tc>
          <w:tcPr>
            <w:tcW w:w="5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 and Chief Operations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Edward Stelmakh</w:t>
            </w:r>
          </w:p>
        </w:tc>
        <w:tc>
          <w:tcPr>
            <w:tcW w:w="120" w:type="dxa"/>
            <w:vAlign w:val="bottom"/>
          </w:tcPr>
          <w:p>
            <w:pPr>
              <w:spacing w:after="0"/>
              <w:rPr>
                <w:sz w:val="20"/>
                <w:szCs w:val="20"/>
                <w:color w:val="auto"/>
              </w:rPr>
            </w:pPr>
          </w:p>
        </w:tc>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4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 O’Connor Vos</w:t>
            </w:r>
          </w:p>
        </w:tc>
        <w:tc>
          <w:tcPr>
            <w:tcW w:w="12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 Chairperson</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Lynn O’Connor Vos</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Lang</w:t>
            </w:r>
          </w:p>
        </w:tc>
        <w:tc>
          <w:tcPr>
            <w:tcW w:w="12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James Lang</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Spangler</w:t>
            </w:r>
          </w:p>
        </w:tc>
        <w:tc>
          <w:tcPr>
            <w:tcW w:w="12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Patrick Spangler</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D. Wasson</w:t>
            </w:r>
          </w:p>
        </w:tc>
        <w:tc>
          <w:tcPr>
            <w:tcW w:w="12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Gregory D. Wasson</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M. Klema</w:t>
            </w:r>
          </w:p>
        </w:tc>
        <w:tc>
          <w:tcPr>
            <w:tcW w:w="12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Catherine M. Klema</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63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ind w:left="1980"/>
              <w:spacing w:after="0"/>
              <w:rPr>
                <w:sz w:val="20"/>
                <w:szCs w:val="20"/>
                <w:color w:val="auto"/>
              </w:rPr>
            </w:pPr>
            <w:r>
              <w:rPr>
                <w:rFonts w:ascii="Times New Roman" w:cs="Times New Roman" w:eastAsia="Times New Roman" w:hAnsi="Times New Roman"/>
                <w:sz w:val="18"/>
                <w:szCs w:val="18"/>
                <w:color w:val="auto"/>
              </w:rPr>
              <w:t>II-3</w:t>
            </w: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763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534924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260 Charles Street, Suite 302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02453</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OptimizeRx Corp., 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acted as counsel for OptimizeRx Corporation, a Nevada corporation (the “Company”), in connection with the preparation of the registration statement on Form S-8 (the “Registration Statement”) to be filed with the Securities and Exchange Commission (the “Commission”) pursuant to the Securities Act of 1933, as amended (the “Act”), relating to the registration of an additional 1,950,000 shares of the Company’s common stock (the “Shares”), which may be issued pursuant to the Company’s 2021 Equity Incentive Plan (the “Plan”).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rendering the opinion set forth below, we have reviewed: (a) the Registration Statement and the exhibits attached thereto; (b) the Company’s Articles of Incorporation, as amended; (c) the Company’s Bylaws, as amended; (d) certain records of the Company’s corporate proceedings as reflected in its minute books including resolutions of the board of directors approving the Plan; (e) the Plan; and (f) such statutes, records and other documents as we have deemed relevant. In our examination, we have assumed the genuineness of all signatures, the authenticity of all documents submitted to us as originals, and conformity with the originals of all documents submitted to us as copies thereof.</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have been validly authorized, and when the Registration Statement has become effective under the Act, such Shares will, when issued pursuant to the terms of the Plan, be legally issued, fully paid and non-assessable shares of the Company’s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Doney Law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OptimizeRx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our name and use of our opinion in connection with the Form S-8 Registration Statement filed with the Securities and Exchange Commission as counsel for the registrant, OptimizeRx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Doney Law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P.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P.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OptimizeRx Corporation on Form S-8 our report dated April 15, 2024, with respect to our audit of the consolidated financial statements of OptimizeRx Corporation and Subsidiaries as of December 31, 2023 and 2022 and for the years then ended appearing in the Annual Report on Form 10-K of OptimizeRx Corporation and Subsidiaries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Sterling Heights,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2024</w:t>
      </w:r>
    </w:p>
    <w:p>
      <w:pPr>
        <w:sectPr>
          <w:pgSz w:w="11900" w:h="16838" w:orient="portrait"/>
          <w:cols w:equalWidth="0" w:num="1">
            <w:col w:w="11240"/>
          </w:cols>
          <w:pgMar w:left="320" w:top="117" w:right="339" w:bottom="1440" w:gutter="0" w:footer="0" w:header="0"/>
        </w:sectPr>
      </w:pPr>
    </w:p>
    <w:bookmarkStart w:id="8" w:name="page9"/>
    <w:bookmarkEnd w:id="8"/>
    <w:p>
      <w:pPr>
        <w:ind w:left="10220"/>
        <w:spacing w:after="0"/>
        <w:rPr>
          <w:sz w:val="20"/>
          <w:szCs w:val="20"/>
          <w:color w:val="auto"/>
        </w:rPr>
      </w:pPr>
      <w:r>
        <w:rPr>
          <w:rFonts w:ascii="Times New Roman" w:cs="Times New Roman" w:eastAsia="Times New Roman" w:hAnsi="Times New Roman"/>
          <w:sz w:val="17"/>
          <w:szCs w:val="17"/>
          <w:b w:val="1"/>
          <w:bCs w:val="1"/>
          <w:color w:val="auto"/>
        </w:rPr>
        <w:t>Exhibit 107.1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30"/>
        </w:trPr>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Fee</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45"/>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Registered(1)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Unit(2)</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6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Registration Fee</w:t>
            </w:r>
          </w:p>
        </w:tc>
      </w:tr>
      <w:tr>
        <w:trPr>
          <w:trHeight w:val="198"/>
        </w:trPr>
        <w:tc>
          <w:tcPr>
            <w:tcW w:w="13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w:t>
            </w:r>
          </w:p>
        </w:tc>
        <w:tc>
          <w:tcPr>
            <w:tcW w:w="1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 par value</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Rule 457(c) and Rule</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r>
      <w:tr>
        <w:trPr>
          <w:trHeight w:val="216"/>
        </w:trPr>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$0.001 per share (“Common</w:t>
            </w:r>
          </w:p>
        </w:tc>
        <w:tc>
          <w:tcPr>
            <w:tcW w:w="17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457(h)</w:t>
            </w: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Stock”)</w:t>
            </w:r>
          </w:p>
        </w:tc>
        <w:tc>
          <w:tcPr>
            <w:tcW w:w="9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1,950,000</w:t>
            </w: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$ 21,333,000</w:t>
            </w:r>
          </w:p>
        </w:tc>
        <w:tc>
          <w:tcPr>
            <w:tcW w:w="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$ 0.00014760</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3,148.7508</w:t>
            </w:r>
          </w:p>
        </w:tc>
        <w:tc>
          <w:tcPr>
            <w:tcW w:w="120" w:type="dxa"/>
            <w:vAlign w:val="bottom"/>
            <w:shd w:val="clear" w:color="auto" w:fill="CCEEFF"/>
          </w:tcPr>
          <w:p>
            <w:pPr>
              <w:spacing w:after="0"/>
              <w:rPr>
                <w:sz w:val="20"/>
                <w:szCs w:val="20"/>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$ 21,333,000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3,148.7508</w:t>
            </w:r>
          </w:p>
        </w:tc>
        <w:tc>
          <w:tcPr>
            <w:tcW w:w="120" w:type="dxa"/>
            <w:vAlign w:val="bottom"/>
          </w:tcPr>
          <w:p>
            <w:pPr>
              <w:spacing w:after="0"/>
              <w:rPr>
                <w:sz w:val="18"/>
                <w:szCs w:val="18"/>
                <w:color w:val="auto"/>
              </w:rPr>
            </w:pPr>
          </w:p>
        </w:tc>
      </w:tr>
      <w:tr>
        <w:trPr>
          <w:trHeight w:val="236"/>
        </w:trPr>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9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gridSpan w:val="2"/>
          </w:tcPr>
          <w:p>
            <w:pPr>
              <w:jc w:val="center"/>
              <w:ind w:left="50"/>
              <w:spacing w:after="0" w:line="203" w:lineRule="exact"/>
              <w:rPr>
                <w:sz w:val="20"/>
                <w:szCs w:val="20"/>
                <w:color w:val="auto"/>
              </w:rPr>
            </w:pPr>
            <w:r>
              <w:rPr>
                <w:rFonts w:ascii="Times New Roman" w:cs="Times New Roman" w:eastAsia="Times New Roman" w:hAnsi="Times New Roman"/>
                <w:sz w:val="18"/>
                <w:szCs w:val="18"/>
                <w:b w:val="1"/>
                <w:bCs w:val="1"/>
                <w:color w:val="auto"/>
                <w:w w:val="99"/>
              </w:rPr>
              <w:t>Net Fee Due</w:t>
            </w: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3,148.7508</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bl>
    <w:p>
      <w:pPr>
        <w:spacing w:after="0" w:line="194" w:lineRule="exact"/>
        <w:rPr>
          <w:sz w:val="20"/>
          <w:szCs w:val="20"/>
          <w:color w:val="auto"/>
        </w:rPr>
      </w:pPr>
    </w:p>
    <w:p>
      <w:pPr>
        <w:jc w:val="both"/>
        <w:ind w:left="340" w:hanging="332"/>
        <w:spacing w:after="0" w:line="25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this Registration Statement shall also cover any additional shares of the Registrant’s Common Stock that become issuable in respect of the securities identified in the above table by reason of any stock dividend, stock split, recapitalization or other similar transaction effected without the Registrant’s receipt of consideration that results in an increase in the number of the outstanding shares of the Registrant’s Common Stock.</w:t>
      </w:r>
    </w:p>
    <w:p>
      <w:pPr>
        <w:spacing w:after="0" w:line="3"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and (h) of the Securities Act solely for the purpose of calculating the registration fee based on the average of the high and low prices of the Registrant’s Common Stock as reported on the Nasdaq Capital Market on June 17,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3"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jpe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16" Type="http://schemas.openxmlformats.org/officeDocument/2006/relationships/hyperlink" Target="https://www.sec.gov/Archives/edgar/data/1448431/000121390024033000/ea0203848-10k_optimizerx.htm" TargetMode="External"/><Relationship Id="rId17" Type="http://schemas.openxmlformats.org/officeDocument/2006/relationships/hyperlink" Target="https://www.sec.gov/ix?doc=/Archives/edgar/data/1448431/000121390024043749/ea0205947-10q_opti.htm" TargetMode="External"/><Relationship Id="rId18" Type="http://schemas.openxmlformats.org/officeDocument/2006/relationships/hyperlink" Target="https://www.sec.gov/Archives/edgar/data/1448431/000121390024001616/ea191205-8ka1_optimizerx.htm" TargetMode="External"/><Relationship Id="rId19" Type="http://schemas.openxmlformats.org/officeDocument/2006/relationships/hyperlink" Target="https://www.sec.gov/Archives/edgar/data/1448431/000121390024006959/ea192296-8k_optimizerx.htm" TargetMode="External"/><Relationship Id="rId20" Type="http://schemas.openxmlformats.org/officeDocument/2006/relationships/hyperlink" Target="https://www.sec.gov/Archives/edgar/data/1448431/000121390024029318/ea0203141-8k_optimize.htm" TargetMode="External"/><Relationship Id="rId21" Type="http://schemas.openxmlformats.org/officeDocument/2006/relationships/hyperlink" Target="https://www.sec.gov/Archives/edgar/data/1448431/000121390024050753/ea0207524-8k_optimize.htm" TargetMode="External"/><Relationship Id="rId22" Type="http://schemas.openxmlformats.org/officeDocument/2006/relationships/hyperlink" Target="https://www.sec.gov/Archives/edgar/data/1448431/000121390021045880/ea146430-8k_optimizerx.htm" TargetMode="External"/><Relationship Id="rId24" Type="http://schemas.openxmlformats.org/officeDocument/2006/relationships/hyperlink" Target="http://www.sec.gov/Archives/edgar/data/1448431/000136110608000414/optimizerx_s1-ex0301.htm" TargetMode="External"/><Relationship Id="rId25" Type="http://schemas.openxmlformats.org/officeDocument/2006/relationships/hyperlink" Target="http://www.sec.gov/Archives/edgar/data/1448431/000121390019003962/f10k2018ex3-5_optimizerx.htm" TargetMode="External"/><Relationship Id="rId26" Type="http://schemas.openxmlformats.org/officeDocument/2006/relationships/hyperlink" Target="https://www.sec.gov/ix?doc=/Archives/edgar/data/1448431/000121390023019233/f10k2022_optimizerx.htm" TargetMode="External"/><Relationship Id="rId27" Type="http://schemas.openxmlformats.org/officeDocument/2006/relationships/hyperlink" Target="http://www.sec.gov/Archives/edgar/data/1448431/000121390021044810/ea146392ex10-1_optimizerx.htm" TargetMode="External"/><Relationship Id="rId28" Type="http://schemas.openxmlformats.org/officeDocument/2006/relationships/hyperlink" Target="http://www.sec.gov/Archives/edgar/data/1448431/000121390024050753/ea0207524ex10-1_optimiz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2024-06-18T15:07:08Z</dcterms:created>
  <dcterms:modified xsi:type="dcterms:W3CDTF">2024-06-18T15:07:08Z</dcterms:modified>
</cp:coreProperties>
</file>