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FEBBO WILLIAM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400 WATER STREET, SUITE 200</w:t>
                  </w:r>
                </w:p>
              </w:tc>
            </w:tr>
            <w:tr>
              <w:trPr/>
              <w:tc>
                <w:tcPr>
                  <w:tcW w:w="345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ROCHESTER</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MI</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48307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OptimizeRx Corp</w:t>
              </w:r>
            </w:hyperlink>
            <w:r>
              <w:rPr/>
              <w:t xml:space="preserve"> [ </w:t>
            </w:r>
            <w:r>
              <w:rPr>
                <w:rFonts w:ascii="Times;serif" w:hAnsi="Times;serif"/>
                <w:color w:val="0000FF"/>
                <w:sz w:val="24"/>
                <w:highlight w:val="white"/>
              </w:rPr>
              <w:t>OPRX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EXECUTIVE OFFICER</w:t>
                  </w:r>
                  <w:r>
                    <w:rPr/>
                    <w:t xml:space="preserve"> </w:t>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03/24/2021</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2"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20,000</w:t>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50.5</w:t>
            </w:r>
            <w:r>
              <w:rPr/>
              <w:t xml:space="preserve"> </w:t>
            </w:r>
          </w:p>
        </w:tc>
        <w:tc>
          <w:tcPr>
            <w:tcW w:w="11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273,278</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03/25/2021</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80,000</w:t>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46.1</w:t>
            </w:r>
            <w:r>
              <w:rPr/>
              <w:t xml:space="preserve"> </w:t>
            </w:r>
          </w:p>
        </w:tc>
        <w:tc>
          <w:tcPr>
            <w:tcW w:w="11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193,278</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03/25/2021</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394,739</w:t>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3.21</w:t>
            </w:r>
            <w:r>
              <w:rPr/>
              <w:t xml:space="preserve"> </w:t>
            </w:r>
          </w:p>
        </w:tc>
        <w:tc>
          <w:tcPr>
            <w:tcW w:w="11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588,017</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03/25/2021</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26,710</w:t>
            </w:r>
          </w:p>
        </w:tc>
        <w:tc>
          <w:tcPr>
            <w:tcW w:w="4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47.44</w:t>
            </w:r>
            <w:r>
              <w:rPr/>
              <w:t xml:space="preserve"> </w:t>
            </w:r>
          </w:p>
        </w:tc>
        <w:tc>
          <w:tcPr>
            <w:tcW w:w="11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561,307</w:t>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254"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3.21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03/25/2021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394,739</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02/22/2019</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05/21/2021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394,739</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transactions reported in the above Table 1 Rows 3 and 4 reflect the cashless exercise of a soon to expire stock option. The cashless exercise of the option is reported in two lines. The first line of the cashless exercise transaction is coded M in Column 3 of Table 1 and reports in Column 4 the number of shares issuable upon exercise of the option had cash been paid to exercise the option, together with the exercise price with code A for acquired. The line coded F in Column 3 of Table I relates to the same cashless exercise on the preceding line and reports in Column 4 the number of shares deducted from the total number of shares issuable to pay for the cashless exercise of such options with code D for disposal. The price in Column D reflects the closing price on the date of the cashless exercise. The number of shares on a net basis is actually owned by the Reporting Person after the cashless exercise. The transactions reported in Table II above reflect the disposition of the same stock option whose cashless exercise is disclosed in Table I above. The sales reflected in Table 1, Rows 1 and 2, were sales to generate funds to pay the taxes associated with the cashless exercise.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William Febbo</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13987" TargetMode="External"/><Relationship Id="rId4" Type="http://schemas.openxmlformats.org/officeDocument/2006/relationships/hyperlink" Target="http://www.sec.gov/cgi-bin/browse-edgar?action=getcompany&amp;CIK=00014484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778</Words>
  <CharactersWithSpaces>4686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