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rPr>
              <w:t>FORM 8-K</w:t>
            </w:r>
          </w:p>
        </w:tc>
        <w:tc>
          <w:tcPr>
            <w:tcW w:w="3320" w:type="dxa"/>
            <w:vAlign w:val="bottom"/>
          </w:tcPr>
          <w:p>
            <w:pPr>
              <w:spacing w:after="0"/>
              <w:rPr>
                <w:sz w:val="20"/>
                <w:szCs w:val="20"/>
                <w:color w:val="auto"/>
              </w:rPr>
            </w:pPr>
          </w:p>
        </w:tc>
      </w:tr>
      <w:tr>
        <w:trPr>
          <w:trHeight w:val="414"/>
        </w:trPr>
        <w:tc>
          <w:tcPr>
            <w:tcW w:w="3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4720" w:type="dxa"/>
            <w:vAlign w:val="bottom"/>
            <w:gridSpan w:val="9"/>
          </w:tcPr>
          <w:p>
            <w:pPr>
              <w:jc w:val="center"/>
              <w:ind w:right="60"/>
              <w:spacing w:after="0"/>
              <w:rPr>
                <w:sz w:val="20"/>
                <w:szCs w:val="20"/>
                <w:color w:val="auto"/>
              </w:rPr>
            </w:pPr>
            <w:r>
              <w:rPr>
                <w:rFonts w:ascii="Arial" w:cs="Arial" w:eastAsia="Arial" w:hAnsi="Arial"/>
                <w:sz w:val="18"/>
                <w:szCs w:val="18"/>
                <w:b w:val="1"/>
                <w:bCs w:val="1"/>
                <w:color w:val="auto"/>
                <w:w w:val="97"/>
              </w:rPr>
              <w:t>PURSUANT TO SECTION 13 OR 15(d) OF</w:t>
            </w:r>
          </w:p>
        </w:tc>
        <w:tc>
          <w:tcPr>
            <w:tcW w:w="332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4720" w:type="dxa"/>
            <w:vAlign w:val="bottom"/>
            <w:gridSpan w:val="9"/>
          </w:tcPr>
          <w:p>
            <w:pPr>
              <w:jc w:val="center"/>
              <w:ind w:right="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380" w:type="dxa"/>
            <w:vAlign w:val="bottom"/>
          </w:tcPr>
          <w:p>
            <w:pPr>
              <w:spacing w:after="0"/>
              <w:rPr>
                <w:sz w:val="24"/>
                <w:szCs w:val="24"/>
                <w:color w:val="auto"/>
              </w:rPr>
            </w:pPr>
          </w:p>
        </w:tc>
        <w:tc>
          <w:tcPr>
            <w:tcW w:w="4720" w:type="dxa"/>
            <w:vAlign w:val="bottom"/>
            <w:gridSpan w:val="9"/>
          </w:tcPr>
          <w:p>
            <w:pPr>
              <w:jc w:val="center"/>
              <w:ind w:right="40"/>
              <w:spacing w:after="0"/>
              <w:rPr>
                <w:sz w:val="20"/>
                <w:szCs w:val="20"/>
                <w:color w:val="auto"/>
              </w:rPr>
            </w:pPr>
            <w:r>
              <w:rPr>
                <w:rFonts w:ascii="Arial" w:cs="Arial" w:eastAsia="Arial" w:hAnsi="Arial"/>
                <w:sz w:val="18"/>
                <w:szCs w:val="18"/>
                <w:color w:val="auto"/>
                <w:w w:val="91"/>
              </w:rPr>
              <w:t>Date of Report (Date of earliest event reported): May 31, 2019</w:t>
            </w:r>
          </w:p>
        </w:tc>
        <w:tc>
          <w:tcPr>
            <w:tcW w:w="3320" w:type="dxa"/>
            <w:vAlign w:val="bottom"/>
          </w:tcPr>
          <w:p>
            <w:pPr>
              <w:spacing w:after="0"/>
              <w:rPr>
                <w:sz w:val="24"/>
                <w:szCs w:val="24"/>
                <w:color w:val="auto"/>
              </w:rPr>
            </w:pPr>
          </w:p>
        </w:tc>
      </w:tr>
      <w:tr>
        <w:trPr>
          <w:trHeight w:val="392"/>
        </w:trPr>
        <w:tc>
          <w:tcPr>
            <w:tcW w:w="3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380" w:type="dxa"/>
            <w:vAlign w:val="bottom"/>
          </w:tcPr>
          <w:p>
            <w:pPr>
              <w:spacing w:after="0"/>
              <w:rPr>
                <w:sz w:val="20"/>
                <w:szCs w:val="20"/>
                <w:color w:val="auto"/>
              </w:rPr>
            </w:pPr>
          </w:p>
        </w:tc>
        <w:tc>
          <w:tcPr>
            <w:tcW w:w="4720" w:type="dxa"/>
            <w:vAlign w:val="bottom"/>
            <w:gridSpan w:val="9"/>
          </w:tcPr>
          <w:p>
            <w:pPr>
              <w:jc w:val="center"/>
              <w:ind w:right="40"/>
              <w:spacing w:after="0"/>
              <w:rPr>
                <w:sz w:val="20"/>
                <w:szCs w:val="20"/>
                <w:color w:val="auto"/>
              </w:rPr>
            </w:pPr>
            <w:r>
              <w:rPr>
                <w:rFonts w:ascii="Arial" w:cs="Arial" w:eastAsia="Arial" w:hAnsi="Arial"/>
                <w:sz w:val="18"/>
                <w:szCs w:val="18"/>
                <w:color w:val="auto"/>
                <w:w w:val="90"/>
              </w:rPr>
              <w:t>(Exact name of registrant as specified in its charter)</w:t>
            </w:r>
          </w:p>
        </w:tc>
        <w:tc>
          <w:tcPr>
            <w:tcW w:w="3320" w:type="dxa"/>
            <w:vAlign w:val="bottom"/>
          </w:tcPr>
          <w:p>
            <w:pPr>
              <w:spacing w:after="0"/>
              <w:rPr>
                <w:sz w:val="20"/>
                <w:szCs w:val="20"/>
                <w:color w:val="auto"/>
              </w:rPr>
            </w:pPr>
          </w:p>
        </w:tc>
      </w:tr>
      <w:tr>
        <w:trPr>
          <w:trHeight w:val="453"/>
        </w:trPr>
        <w:tc>
          <w:tcPr>
            <w:tcW w:w="3380" w:type="dxa"/>
            <w:vAlign w:val="bottom"/>
          </w:tcPr>
          <w:p>
            <w:pPr>
              <w:jc w:val="center"/>
              <w:ind w:left="1230"/>
              <w:spacing w:after="0"/>
              <w:rPr>
                <w:sz w:val="20"/>
                <w:szCs w:val="20"/>
                <w:color w:val="auto"/>
              </w:rPr>
            </w:pPr>
            <w:r>
              <w:rPr>
                <w:rFonts w:ascii="Arial" w:cs="Arial" w:eastAsia="Arial" w:hAnsi="Arial"/>
                <w:sz w:val="18"/>
                <w:szCs w:val="18"/>
                <w:color w:val="auto"/>
                <w:w w:val="86"/>
              </w:rPr>
              <w:t>Nevada</w:t>
            </w:r>
          </w:p>
        </w:tc>
        <w:tc>
          <w:tcPr>
            <w:tcW w:w="4280" w:type="dxa"/>
            <w:vAlign w:val="bottom"/>
            <w:gridSpan w:val="7"/>
          </w:tcPr>
          <w:p>
            <w:pPr>
              <w:jc w:val="right"/>
              <w:ind w:right="1020"/>
              <w:spacing w:after="0"/>
              <w:rPr>
                <w:sz w:val="20"/>
                <w:szCs w:val="20"/>
                <w:color w:val="auto"/>
              </w:rPr>
            </w:pPr>
            <w:r>
              <w:rPr>
                <w:rFonts w:ascii="Arial" w:cs="Arial" w:eastAsia="Arial" w:hAnsi="Arial"/>
                <w:sz w:val="18"/>
                <w:szCs w:val="18"/>
                <w:color w:val="auto"/>
              </w:rPr>
              <w:t>000-53605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380" w:type="dxa"/>
            <w:vAlign w:val="bottom"/>
            <w:tcBorders>
              <w:top w:val="single" w:sz="8" w:color="auto"/>
            </w:tcBorders>
          </w:tcPr>
          <w:p>
            <w:pPr>
              <w:jc w:val="center"/>
              <w:ind w:left="1230"/>
              <w:spacing w:after="0" w:line="201" w:lineRule="exact"/>
              <w:rPr>
                <w:sz w:val="20"/>
                <w:szCs w:val="20"/>
                <w:color w:val="auto"/>
              </w:rPr>
            </w:pPr>
            <w:r>
              <w:rPr>
                <w:rFonts w:ascii="Arial" w:cs="Arial" w:eastAsia="Arial" w:hAnsi="Arial"/>
                <w:sz w:val="18"/>
                <w:szCs w:val="18"/>
                <w:color w:val="auto"/>
                <w:w w:val="92"/>
              </w:rPr>
              <w:t>(State or other jurisdiction</w:t>
            </w: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gridSpan w:val="4"/>
          </w:tcPr>
          <w:p>
            <w:pPr>
              <w:jc w:val="center"/>
              <w:ind w:right="20"/>
              <w:spacing w:after="0" w:line="201" w:lineRule="exact"/>
              <w:rPr>
                <w:sz w:val="20"/>
                <w:szCs w:val="20"/>
                <w:color w:val="auto"/>
              </w:rPr>
            </w:pPr>
            <w:r>
              <w:rPr>
                <w:rFonts w:ascii="Arial" w:cs="Arial" w:eastAsia="Arial" w:hAnsi="Arial"/>
                <w:sz w:val="18"/>
                <w:szCs w:val="18"/>
                <w:color w:val="auto"/>
                <w:w w:val="93"/>
              </w:rPr>
              <w:t>(Commission File Number)</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380" w:type="dxa"/>
            <w:vAlign w:val="bottom"/>
          </w:tcPr>
          <w:p>
            <w:pPr>
              <w:jc w:val="center"/>
              <w:ind w:left="1230"/>
              <w:spacing w:after="0"/>
              <w:rPr>
                <w:sz w:val="20"/>
                <w:szCs w:val="20"/>
                <w:color w:val="auto"/>
              </w:rPr>
            </w:pPr>
            <w:r>
              <w:rPr>
                <w:rFonts w:ascii="Arial" w:cs="Arial" w:eastAsia="Arial" w:hAnsi="Arial"/>
                <w:sz w:val="18"/>
                <w:szCs w:val="18"/>
                <w:color w:val="auto"/>
                <w:w w:val="93"/>
              </w:rPr>
              <w:t>of incorporation)</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00" w:type="dxa"/>
            <w:vAlign w:val="bottom"/>
            <w:gridSpan w:val="10"/>
          </w:tcPr>
          <w:p>
            <w:pPr>
              <w:jc w:val="center"/>
              <w:ind w:right="2480"/>
              <w:spacing w:after="0"/>
              <w:rPr>
                <w:sz w:val="20"/>
                <w:szCs w:val="20"/>
                <w:color w:val="auto"/>
              </w:rPr>
            </w:pPr>
            <w:r>
              <w:rPr>
                <w:rFonts w:ascii="Arial" w:cs="Arial" w:eastAsia="Arial" w:hAnsi="Arial"/>
                <w:sz w:val="18"/>
                <w:szCs w:val="18"/>
                <w:color w:val="auto"/>
                <w:w w:val="90"/>
              </w:rPr>
              <w:t>400 Water Street, Suite 200, Rochester, MI</w:t>
            </w:r>
          </w:p>
        </w:tc>
        <w:tc>
          <w:tcPr>
            <w:tcW w:w="33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297815</wp:posOffset>
            </wp:positionV>
            <wp:extent cx="361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59"/>
        </w:trPr>
        <w:tc>
          <w:tcPr>
            <w:tcW w:w="440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Markets</w:t>
            </w:r>
          </w:p>
        </w:tc>
      </w:tr>
      <w:tr>
        <w:trPr>
          <w:trHeight w:val="216"/>
        </w:trPr>
        <w:tc>
          <w:tcPr>
            <w:tcW w:w="3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8"/>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574"/>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May 31, 2019, we issued a press release announcing two invitations to present at investor conferences in June of this year. A copy of the press release is attached as Exhibit 99.1 to this Current Report on Form 8-K.</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8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31,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796"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2019</w:t>
      </w: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86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154940</wp:posOffset>
            </wp:positionV>
            <wp:extent cx="226377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7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Participate at Investor Conferences in June</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ROCHESTER, Mich., (May 31, 2019) — </w:t>
      </w:r>
      <w:r>
        <w:rPr>
          <w:rFonts w:ascii="Arial" w:cs="Arial" w:eastAsia="Arial" w:hAnsi="Arial"/>
          <w:sz w:val="18"/>
          <w:szCs w:val="18"/>
          <w:color w:val="auto"/>
        </w:rPr>
        <w:t>OptimizeRx Corp. (NASDAQ: OPRX), a leading provider of digital health messaging for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has been invited to participate in two investor conferences being held in June.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Event: William Blair &amp; Company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Growth Stock Conference</w:t>
      </w:r>
    </w:p>
    <w:p>
      <w:pPr>
        <w:spacing w:after="0"/>
        <w:rPr>
          <w:sz w:val="20"/>
          <w:szCs w:val="20"/>
          <w:color w:val="auto"/>
        </w:rPr>
      </w:pPr>
      <w:r>
        <w:rPr>
          <w:rFonts w:ascii="Arial" w:cs="Arial" w:eastAsia="Arial" w:hAnsi="Arial"/>
          <w:sz w:val="18"/>
          <w:szCs w:val="18"/>
          <w:color w:val="auto"/>
        </w:rPr>
        <w:t>Date: June 5-6, 2019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Location: Loews Chicago Hotel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Format: 1x1 meetings and presentation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Presentation time: 1:20 p.m. Central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 click here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your William Blair institutional sales representative for registration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Event: Stifel 2019 Cross Sector Insight Conference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June 10-12,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 InterContinental Hotel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Format: 1x1 meetings and presentation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Presentation time: 4:10 p.m. Eastern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your Stifel institutional sales representative email for registration information.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OptimizeRx CEO William Febbo is scheduled to present and participate in one-on-one meetings with institutional investors and analysts at both conferences. He will discuss OptimizeRx’s recently announced first quarter of 2019 results, including how the company has achieved eight quarters in a row of revenue growth, along with record gross margin and continued profitability. He will also share insight on the company’s latest platform integration with the health care industry’s leading acute EHR systems that includes Epic and Cerner.</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schedule a one-on-one meeting with OptimizeRx, you may submit your request via the links provided upon your registration for the conferences. For any questions about OptimizeRx, please contact Ron Both of CMA at (949) 432-7557 or submit your request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William Blair</w:t>
      </w:r>
    </w:p>
    <w:p>
      <w:pPr>
        <w:spacing w:after="0" w:line="27"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William Blair is a premier global boutique with expertise in investment banking, investment management, and private wealth management. The company provides advisory services, strategies, and solutions to meet its clients’ evolving needs. As an independent and employee-owned firm, together with its strategic partners, William Blair operates in more than 20 offices worldwide. For more information, visit www.williamblair.com.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Stifel</w:t>
      </w:r>
    </w:p>
    <w:p>
      <w:pPr>
        <w:spacing w:after="0" w:line="27"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Stifel is a full-service investment firm with a distinguished history of providing securities brokerage, investment banking, trading, investment advisory, and related financial services to individual investors, institutions, corporations, and municipalities. Established in 1890 and headquartered in St. Louis, Missouri, Stifel is one of the nation’s leading firms.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Stifel, visit www.stifel.com.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360"/>
        <w:spacing w:after="0" w:line="234" w:lineRule="auto"/>
        <w:rPr>
          <w:sz w:val="20"/>
          <w:szCs w:val="20"/>
          <w:color w:val="auto"/>
        </w:rPr>
      </w:pPr>
      <w:r>
        <w:rPr>
          <w:rFonts w:ascii="Arial" w:cs="Arial" w:eastAsia="Arial" w:hAnsi="Arial"/>
          <w:sz w:val="16"/>
          <w:szCs w:val="16"/>
          <w:color w:val="auto"/>
        </w:rPr>
        <w:t>OptimizeRx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(NASDAQ: OPRX), a digital health company, connects pharmaceutical companies to patients and providers, offering greater affordability, adherence and brand awareness at the point-of-care. As the nation’s largest point-of-prescribe promotional platform for the pharmaceutical</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industry, OptimizeRx provides a direct channel for pharma companies to communicate with healthcare providers right within their workflow and also directly to patients.</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w:t>
      </w:r>
    </w:p>
    <w:p>
      <w:pPr>
        <w:spacing w:after="0" w:line="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86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2019-12-28T11:42:44Z</dcterms:created>
  <dcterms:modified xsi:type="dcterms:W3CDTF">2019-12-28T11:42:44Z</dcterms:modified>
</cp:coreProperties>
</file>