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8-A</w:t>
      </w:r>
    </w:p>
    <w:p>
      <w:pPr>
        <w:spacing w:after="0" w:line="252"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 REGISTRATION OF CERTAIN CLASSES OF SECURITIES</w:t>
      </w:r>
    </w:p>
    <w:p>
      <w:pPr>
        <w:spacing w:after="0" w:line="2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12(b) OR (g) OF THE</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8"/>
                <w:szCs w:val="18"/>
                <w:b w:val="1"/>
                <w:bCs w:val="1"/>
                <w:color w:val="auto"/>
                <w:w w:val="90"/>
              </w:rPr>
              <w:t>Nevada</w:t>
            </w:r>
          </w:p>
        </w:tc>
        <w:tc>
          <w:tcPr>
            <w:tcW w:w="2280" w:type="dxa"/>
            <w:vAlign w:val="bottom"/>
            <w:gridSpan w:val="3"/>
          </w:tcPr>
          <w:p>
            <w:pPr>
              <w:spacing w:after="0"/>
              <w:rPr>
                <w:sz w:val="17"/>
                <w:szCs w:val="17"/>
                <w:color w:val="auto"/>
              </w:rPr>
            </w:pPr>
          </w:p>
        </w:tc>
        <w:tc>
          <w:tcPr>
            <w:tcW w:w="3700" w:type="dxa"/>
            <w:vAlign w:val="bottom"/>
            <w:gridSpan w:val="6"/>
          </w:tcPr>
          <w:p>
            <w:pPr>
              <w:jc w:val="right"/>
              <w:ind w:right="140"/>
              <w:spacing w:after="0"/>
              <w:rPr>
                <w:sz w:val="20"/>
                <w:szCs w:val="20"/>
                <w:color w:val="auto"/>
              </w:rPr>
            </w:pPr>
            <w:r>
              <w:rPr>
                <w:rFonts w:ascii="Arial" w:cs="Arial" w:eastAsia="Arial" w:hAnsi="Arial"/>
                <w:sz w:val="18"/>
                <w:szCs w:val="18"/>
                <w:b w:val="1"/>
                <w:bCs w:val="1"/>
                <w:color w:val="auto"/>
              </w:rPr>
              <w:t>26-1265381</w:t>
            </w:r>
          </w:p>
        </w:tc>
        <w:tc>
          <w:tcPr>
            <w:tcW w:w="1680" w:type="dxa"/>
            <w:vAlign w:val="bottom"/>
          </w:tcPr>
          <w:p>
            <w:pPr>
              <w:spacing w:after="0"/>
              <w:rPr>
                <w:sz w:val="17"/>
                <w:szCs w:val="17"/>
                <w:color w:val="auto"/>
              </w:rPr>
            </w:pP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37"/>
        </w:trPr>
        <w:tc>
          <w:tcPr>
            <w:tcW w:w="5440" w:type="dxa"/>
            <w:vAlign w:val="bottom"/>
            <w:gridSpan w:val="7"/>
          </w:tcPr>
          <w:p>
            <w:pPr>
              <w:jc w:val="center"/>
              <w:ind w:left="210"/>
              <w:spacing w:after="0"/>
              <w:rPr>
                <w:sz w:val="20"/>
                <w:szCs w:val="20"/>
                <w:color w:val="auto"/>
              </w:rPr>
            </w:pPr>
            <w:r>
              <w:rPr>
                <w:rFonts w:ascii="Arial" w:cs="Arial" w:eastAsia="Arial" w:hAnsi="Arial"/>
                <w:sz w:val="18"/>
                <w:szCs w:val="18"/>
                <w:color w:val="auto"/>
                <w:w w:val="91"/>
              </w:rPr>
              <w:t>(State of incorporation or organization)</w:t>
            </w:r>
          </w:p>
        </w:tc>
        <w:tc>
          <w:tcPr>
            <w:tcW w:w="5380" w:type="dxa"/>
            <w:vAlign w:val="bottom"/>
            <w:gridSpan w:val="7"/>
          </w:tcPr>
          <w:p>
            <w:pPr>
              <w:jc w:val="center"/>
              <w:ind w:left="790"/>
              <w:spacing w:after="0"/>
              <w:rPr>
                <w:sz w:val="20"/>
                <w:szCs w:val="20"/>
                <w:color w:val="auto"/>
              </w:rPr>
            </w:pPr>
            <w:r>
              <w:rPr>
                <w:rFonts w:ascii="Arial" w:cs="Arial" w:eastAsia="Arial" w:hAnsi="Arial"/>
                <w:sz w:val="18"/>
                <w:szCs w:val="18"/>
                <w:color w:val="auto"/>
                <w:w w:val="94"/>
              </w:rPr>
              <w:t>(I.R.S. Employer Identification No.)</w:t>
            </w:r>
          </w:p>
        </w:tc>
      </w:tr>
      <w:tr>
        <w:trPr>
          <w:trHeight w:val="608"/>
        </w:trPr>
        <w:tc>
          <w:tcPr>
            <w:tcW w:w="1660" w:type="dxa"/>
            <w:vAlign w:val="bottom"/>
          </w:tcPr>
          <w:p>
            <w:pPr>
              <w:spacing w:after="0"/>
              <w:rPr>
                <w:sz w:val="24"/>
                <w:szCs w:val="24"/>
                <w:color w:val="auto"/>
              </w:rPr>
            </w:pPr>
          </w:p>
        </w:tc>
        <w:tc>
          <w:tcPr>
            <w:tcW w:w="2400" w:type="dxa"/>
            <w:vAlign w:val="bottom"/>
            <w:tcBorders>
              <w:bottom w:val="single" w:sz="8" w:color="auto"/>
            </w:tcBorders>
            <w:gridSpan w:val="5"/>
          </w:tcPr>
          <w:p>
            <w:pPr>
              <w:jc w:val="center"/>
              <w:spacing w:after="0"/>
              <w:rPr>
                <w:sz w:val="20"/>
                <w:szCs w:val="20"/>
                <w:color w:val="auto"/>
              </w:rPr>
            </w:pPr>
            <w:r>
              <w:rPr>
                <w:rFonts w:ascii="Arial" w:cs="Arial" w:eastAsia="Arial" w:hAnsi="Arial"/>
                <w:sz w:val="18"/>
                <w:szCs w:val="18"/>
                <w:b w:val="1"/>
                <w:bCs w:val="1"/>
                <w:color w:val="auto"/>
                <w:w w:val="91"/>
              </w:rPr>
              <w:t>407 Sixth Street, Rochester, MI</w:t>
            </w:r>
          </w:p>
        </w:tc>
        <w:tc>
          <w:tcPr>
            <w:tcW w:w="1380" w:type="dxa"/>
            <w:vAlign w:val="bottom"/>
          </w:tcPr>
          <w:p>
            <w:pPr>
              <w:spacing w:after="0"/>
              <w:rPr>
                <w:sz w:val="24"/>
                <w:szCs w:val="24"/>
                <w:color w:val="auto"/>
              </w:rPr>
            </w:pPr>
          </w:p>
        </w:tc>
        <w:tc>
          <w:tcPr>
            <w:tcW w:w="2900" w:type="dxa"/>
            <w:vAlign w:val="bottom"/>
            <w:gridSpan w:val="3"/>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48307</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237"/>
        </w:trPr>
        <w:tc>
          <w:tcPr>
            <w:tcW w:w="5440" w:type="dxa"/>
            <w:vAlign w:val="bottom"/>
            <w:gridSpan w:val="7"/>
          </w:tcPr>
          <w:p>
            <w:pPr>
              <w:jc w:val="center"/>
              <w:ind w:left="250"/>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80" w:type="dxa"/>
            <w:vAlign w:val="bottom"/>
            <w:gridSpan w:val="5"/>
          </w:tcPr>
          <w:p>
            <w:pPr>
              <w:jc w:val="center"/>
              <w:ind w:right="1820"/>
              <w:spacing w:after="0"/>
              <w:rPr>
                <w:sz w:val="20"/>
                <w:szCs w:val="20"/>
                <w:color w:val="auto"/>
              </w:rPr>
            </w:pPr>
            <w:r>
              <w:rPr>
                <w:rFonts w:ascii="Arial" w:cs="Arial" w:eastAsia="Arial" w:hAnsi="Arial"/>
                <w:sz w:val="18"/>
                <w:szCs w:val="18"/>
                <w:color w:val="auto"/>
                <w:w w:val="91"/>
              </w:rPr>
              <w:t>(Zip Code)</w:t>
            </w:r>
          </w:p>
        </w:tc>
      </w:tr>
      <w:tr>
        <w:trPr>
          <w:trHeight w:val="432"/>
        </w:trPr>
        <w:tc>
          <w:tcPr>
            <w:tcW w:w="5440" w:type="dxa"/>
            <w:vAlign w:val="bottom"/>
            <w:gridSpan w:val="7"/>
          </w:tcPr>
          <w:p>
            <w:pPr>
              <w:spacing w:after="0"/>
              <w:rPr>
                <w:sz w:val="20"/>
                <w:szCs w:val="20"/>
                <w:color w:val="auto"/>
              </w:rPr>
            </w:pPr>
            <w:r>
              <w:rPr>
                <w:rFonts w:ascii="Arial" w:cs="Arial" w:eastAsia="Arial" w:hAnsi="Arial"/>
                <w:sz w:val="18"/>
                <w:szCs w:val="18"/>
                <w:color w:val="auto"/>
              </w:rPr>
              <w:t>Securities to be registered pursuant to Section 12(b) of the Act:</w:t>
            </w:r>
          </w:p>
        </w:tc>
        <w:tc>
          <w:tcPr>
            <w:tcW w:w="2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414"/>
        </w:trPr>
        <w:tc>
          <w:tcPr>
            <w:tcW w:w="5440" w:type="dxa"/>
            <w:vAlign w:val="bottom"/>
            <w:gridSpan w:val="7"/>
          </w:tcPr>
          <w:p>
            <w:pPr>
              <w:jc w:val="center"/>
              <w:ind w:left="210"/>
              <w:spacing w:after="0"/>
              <w:rPr>
                <w:sz w:val="20"/>
                <w:szCs w:val="20"/>
                <w:color w:val="auto"/>
              </w:rPr>
            </w:pPr>
            <w:r>
              <w:rPr>
                <w:rFonts w:ascii="Arial" w:cs="Arial" w:eastAsia="Arial" w:hAnsi="Arial"/>
                <w:sz w:val="18"/>
                <w:szCs w:val="18"/>
                <w:color w:val="auto"/>
                <w:w w:val="89"/>
              </w:rPr>
              <w:t>Title of each class to be so registered</w:t>
            </w:r>
          </w:p>
        </w:tc>
        <w:tc>
          <w:tcPr>
            <w:tcW w:w="5380" w:type="dxa"/>
            <w:vAlign w:val="bottom"/>
            <w:gridSpan w:val="7"/>
          </w:tcPr>
          <w:p>
            <w:pPr>
              <w:jc w:val="center"/>
              <w:ind w:left="790"/>
              <w:spacing w:after="0"/>
              <w:rPr>
                <w:sz w:val="20"/>
                <w:szCs w:val="20"/>
                <w:color w:val="auto"/>
              </w:rPr>
            </w:pPr>
            <w:r>
              <w:rPr>
                <w:rFonts w:ascii="Arial" w:cs="Arial" w:eastAsia="Arial" w:hAnsi="Arial"/>
                <w:sz w:val="18"/>
                <w:szCs w:val="18"/>
                <w:color w:val="auto"/>
                <w:w w:val="89"/>
              </w:rPr>
              <w:t>Name of each exchange of which each class is to be registered</w:t>
            </w:r>
          </w:p>
        </w:tc>
      </w:tr>
      <w:tr>
        <w:trPr>
          <w:trHeight w:val="194"/>
        </w:trPr>
        <w:tc>
          <w:tcPr>
            <w:tcW w:w="1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160" w:type="dxa"/>
            <w:vAlign w:val="bottom"/>
            <w:gridSpan w:val="5"/>
          </w:tcPr>
          <w:p>
            <w:pPr>
              <w:jc w:val="center"/>
              <w:ind w:right="2000"/>
              <w:spacing w:after="0" w:line="194" w:lineRule="exact"/>
              <w:rPr>
                <w:sz w:val="20"/>
                <w:szCs w:val="20"/>
                <w:color w:val="auto"/>
              </w:rPr>
            </w:pPr>
            <w:r>
              <w:rPr>
                <w:rFonts w:ascii="Arial" w:cs="Arial" w:eastAsia="Arial" w:hAnsi="Arial"/>
                <w:sz w:val="18"/>
                <w:szCs w:val="18"/>
                <w:b w:val="1"/>
                <w:bCs w:val="1"/>
                <w:color w:val="auto"/>
                <w:w w:val="92"/>
              </w:rPr>
              <w:t>Not Applicable</w:t>
            </w:r>
          </w:p>
        </w:tc>
        <w:tc>
          <w:tcPr>
            <w:tcW w:w="5380" w:type="dxa"/>
            <w:vAlign w:val="bottom"/>
            <w:gridSpan w:val="7"/>
          </w:tcPr>
          <w:p>
            <w:pPr>
              <w:jc w:val="center"/>
              <w:ind w:left="790"/>
              <w:spacing w:after="0" w:line="194" w:lineRule="exact"/>
              <w:rPr>
                <w:sz w:val="20"/>
                <w:szCs w:val="20"/>
                <w:color w:val="auto"/>
              </w:rPr>
            </w:pPr>
            <w:r>
              <w:rPr>
                <w:rFonts w:ascii="Arial" w:cs="Arial" w:eastAsia="Arial" w:hAnsi="Arial"/>
                <w:sz w:val="18"/>
                <w:szCs w:val="18"/>
                <w:b w:val="1"/>
                <w:bCs w:val="1"/>
                <w:color w:val="auto"/>
                <w:w w:val="90"/>
              </w:rPr>
              <w:t>Not Applicable</w:t>
            </w:r>
          </w:p>
        </w:tc>
      </w:tr>
      <w:tr>
        <w:trPr>
          <w:trHeight w:val="20"/>
        </w:trPr>
        <w:tc>
          <w:tcPr>
            <w:tcW w:w="1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256"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12(b) of the Exchange Act and is effective pursuant to General Instruction A. (c), check the following box. [ X ]</w:t>
      </w:r>
    </w:p>
    <w:p>
      <w:pPr>
        <w:spacing w:after="0" w:line="19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relates to the registration of a class of securities pursuant to Section 12(g) of the Exchange Act and is effective pursuant to General Instruction A. (d), check the following box. [ ]</w:t>
      </w:r>
    </w:p>
    <w:p>
      <w:pPr>
        <w:spacing w:after="0" w:line="193" w:lineRule="exact"/>
        <w:rPr>
          <w:sz w:val="24"/>
          <w:szCs w:val="24"/>
          <w:color w:val="auto"/>
        </w:rPr>
      </w:pPr>
    </w:p>
    <w:p>
      <w:pPr>
        <w:ind w:left="60" w:right="4980" w:hanging="44"/>
        <w:spacing w:after="0" w:line="282" w:lineRule="auto"/>
        <w:rPr>
          <w:sz w:val="20"/>
          <w:szCs w:val="20"/>
          <w:color w:val="auto"/>
        </w:rPr>
      </w:pPr>
      <w:r>
        <w:rPr>
          <w:rFonts w:ascii="Arial" w:cs="Arial" w:eastAsia="Arial" w:hAnsi="Arial"/>
          <w:sz w:val="18"/>
          <w:szCs w:val="18"/>
          <w:color w:val="auto"/>
        </w:rPr>
        <w:t xml:space="preserve">Securities Act registration statement file number to which this form relates: </w:t>
      </w:r>
      <w:r>
        <w:rPr>
          <w:rFonts w:ascii="Arial" w:cs="Arial" w:eastAsia="Arial" w:hAnsi="Arial"/>
          <w:sz w:val="18"/>
          <w:szCs w:val="18"/>
          <w:b w:val="1"/>
          <w:bCs w:val="1"/>
          <w:color w:val="auto"/>
        </w:rPr>
        <w:t>333-155280</w:t>
      </w:r>
      <w:r>
        <w:rPr>
          <w:rFonts w:ascii="Arial" w:cs="Arial" w:eastAsia="Arial" w:hAnsi="Arial"/>
          <w:sz w:val="18"/>
          <w:szCs w:val="18"/>
          <w:color w:val="auto"/>
        </w:rPr>
        <w:t xml:space="preserve"> (if applicable)</w:t>
      </w:r>
    </w:p>
    <w:p>
      <w:pPr>
        <w:spacing w:after="0" w:line="193" w:lineRule="exact"/>
        <w:rPr>
          <w:sz w:val="24"/>
          <w:szCs w:val="24"/>
          <w:color w:val="auto"/>
        </w:rPr>
      </w:pPr>
    </w:p>
    <w:p>
      <w:pPr>
        <w:spacing w:after="0"/>
        <w:rPr>
          <w:sz w:val="20"/>
          <w:szCs w:val="20"/>
          <w:color w:val="auto"/>
        </w:rPr>
      </w:pPr>
      <w:r>
        <w:rPr>
          <w:rFonts w:ascii="Arial" w:cs="Arial" w:eastAsia="Arial" w:hAnsi="Arial"/>
          <w:sz w:val="18"/>
          <w:szCs w:val="18"/>
          <w:color w:val="auto"/>
        </w:rPr>
        <w:t>Securities to be registered pursuant to Section 12(g) of the Act:</w:t>
      </w:r>
    </w:p>
    <w:p>
      <w:pPr>
        <w:spacing w:after="0" w:line="248"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description of securities contained in Registrant’s Registration Statement on Form S-1/A-3, as amended, filed with the commission (File No. 333-155280) is incorporated by reference into this registration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40" w:type="dxa"/>
            <w:vAlign w:val="bottom"/>
          </w:tcPr>
          <w:p>
            <w:pPr>
              <w:spacing w:after="0"/>
              <w:rPr>
                <w:sz w:val="17"/>
                <w:szCs w:val="17"/>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Number</w:t>
            </w:r>
          </w:p>
        </w:tc>
        <w:tc>
          <w:tcPr>
            <w:tcW w:w="10140" w:type="dxa"/>
            <w:vAlign w:val="bottom"/>
            <w:gridSpan w:val="2"/>
          </w:tcPr>
          <w:p>
            <w:pPr>
              <w:spacing w:after="0" w:line="19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6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r>
      <w:tr>
        <w:trPr>
          <w:trHeight w:val="263"/>
        </w:trPr>
        <w:tc>
          <w:tcPr>
            <w:tcW w:w="640" w:type="dxa"/>
            <w:vAlign w:val="bottom"/>
          </w:tcPr>
          <w:p>
            <w:pPr>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2"/>
                <w:szCs w:val="22"/>
                <w:color w:val="auto"/>
              </w:rPr>
            </w:pPr>
          </w:p>
        </w:tc>
        <w:tc>
          <w:tcPr>
            <w:tcW w:w="10140" w:type="dxa"/>
            <w:vAlign w:val="bottom"/>
            <w:gridSpan w:val="2"/>
          </w:tcPr>
          <w:p>
            <w:pPr>
              <w:spacing w:after="0" w:line="263" w:lineRule="exact"/>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3.2</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Amended and Restated Bylaws of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5.1</w:t>
            </w:r>
          </w:p>
        </w:tc>
        <w:tc>
          <w:tcPr>
            <w:tcW w:w="280" w:type="dxa"/>
            <w:vAlign w:val="bottom"/>
          </w:tcPr>
          <w:p>
            <w:pPr>
              <w:spacing w:after="0"/>
              <w:rPr>
                <w:sz w:val="19"/>
                <w:szCs w:val="19"/>
                <w:color w:val="auto"/>
              </w:rPr>
            </w:pPr>
          </w:p>
        </w:tc>
        <w:tc>
          <w:tcPr>
            <w:tcW w:w="10140" w:type="dxa"/>
            <w:vAlign w:val="bottom"/>
            <w:gridSpan w:val="2"/>
          </w:tcPr>
          <w:p>
            <w:pPr>
              <w:spacing w:after="0" w:line="229" w:lineRule="exact"/>
              <w:rPr>
                <w:sz w:val="20"/>
                <w:szCs w:val="20"/>
                <w:color w:val="auto"/>
              </w:rPr>
            </w:pPr>
            <w:r>
              <w:rPr>
                <w:rFonts w:ascii="Arial" w:cs="Arial" w:eastAsia="Arial" w:hAnsi="Arial"/>
                <w:sz w:val="18"/>
                <w:szCs w:val="18"/>
                <w:color w:val="auto"/>
              </w:rPr>
              <w:t>Opinion of Sichenzia Ross Friedman Ference LLP</w:t>
            </w:r>
            <w:r>
              <w:rPr>
                <w:rFonts w:ascii="Arial" w:cs="Arial" w:eastAsia="Arial" w:hAnsi="Arial"/>
                <w:sz w:val="25"/>
                <w:szCs w:val="25"/>
                <w:color w:val="auto"/>
                <w:vertAlign w:val="superscript"/>
              </w:rPr>
              <w:t>2</w:t>
            </w: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4"/>
              </w:rPr>
              <w:t>Agreement Concerning the Exchange of Securities, dated on April 14, 2008 by and among RFID, Ltd., OptimizeRx Corporation and the</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Security Holders of OptimizeRx Corporation</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10.2</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w w:val="97"/>
              </w:rPr>
              <w:t>Securities Purchase Agreement, dated September 8, 2008, by and between the Company and Vicis Capital Master Fund (“Vicis”)</w:t>
            </w:r>
            <w:r>
              <w:rPr>
                <w:rFonts w:ascii="Arial" w:cs="Arial" w:eastAsia="Arial" w:hAnsi="Arial"/>
                <w:sz w:val="25"/>
                <w:szCs w:val="25"/>
                <w:color w:val="auto"/>
                <w:w w:val="97"/>
                <w:vertAlign w:val="superscript"/>
              </w:rPr>
              <w:t>1</w:t>
            </w:r>
            <w:r>
              <w:rPr>
                <w:rFonts w:ascii="Arial" w:cs="Arial" w:eastAsia="Arial" w:hAnsi="Arial"/>
                <w:sz w:val="18"/>
                <w:szCs w:val="18"/>
                <w:color w:val="auto"/>
                <w:w w:val="97"/>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10.3</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Form of Series A Warrant</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Registration Rights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Security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Guaranty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29"/>
        </w:trPr>
        <w:tc>
          <w:tcPr>
            <w:tcW w:w="640" w:type="dxa"/>
            <w:vAlign w:val="bottom"/>
          </w:tcPr>
          <w:p>
            <w:pPr>
              <w:spacing w:after="0"/>
              <w:rPr>
                <w:sz w:val="20"/>
                <w:szCs w:val="20"/>
                <w:color w:val="auto"/>
              </w:rPr>
            </w:pPr>
            <w:r>
              <w:rPr>
                <w:rFonts w:ascii="Arial" w:cs="Arial" w:eastAsia="Arial" w:hAnsi="Arial"/>
                <w:sz w:val="18"/>
                <w:szCs w:val="18"/>
                <w:color w:val="auto"/>
              </w:rPr>
              <w:t>10.7</w:t>
            </w:r>
          </w:p>
        </w:tc>
        <w:tc>
          <w:tcPr>
            <w:tcW w:w="280" w:type="dxa"/>
            <w:vAlign w:val="bottom"/>
          </w:tcPr>
          <w:p>
            <w:pPr>
              <w:spacing w:after="0"/>
              <w:rPr>
                <w:sz w:val="19"/>
                <w:szCs w:val="19"/>
                <w:color w:val="auto"/>
              </w:rPr>
            </w:pPr>
          </w:p>
        </w:tc>
        <w:tc>
          <w:tcPr>
            <w:tcW w:w="10140" w:type="dxa"/>
            <w:vAlign w:val="bottom"/>
            <w:gridSpan w:val="2"/>
          </w:tcPr>
          <w:p>
            <w:pPr>
              <w:spacing w:after="0" w:line="229" w:lineRule="exact"/>
              <w:rPr>
                <w:sz w:val="20"/>
                <w:szCs w:val="20"/>
                <w:color w:val="auto"/>
              </w:rPr>
            </w:pPr>
            <w:r>
              <w:rPr>
                <w:rFonts w:ascii="Arial" w:cs="Arial" w:eastAsia="Arial" w:hAnsi="Arial"/>
                <w:sz w:val="18"/>
                <w:szCs w:val="18"/>
                <w:color w:val="auto"/>
              </w:rPr>
              <w:t>Guarantor Security Agreement, dated September 8, 2008, by and between the Company and Vicis</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16"/>
        </w:trPr>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w w:val="90"/>
              </w:rPr>
              <w:t>Form of Partnership Agreement between the Company and Dendrite International, Inc. d/b/a/ Cegedim Dendrite, as entered into on June 24,</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10.8</w:t>
            </w:r>
          </w:p>
        </w:tc>
        <w:tc>
          <w:tcPr>
            <w:tcW w:w="280" w:type="dxa"/>
            <w:vAlign w:val="bottom"/>
          </w:tcPr>
          <w:p>
            <w:pPr>
              <w:spacing w:after="0"/>
              <w:rPr>
                <w:sz w:val="21"/>
                <w:szCs w:val="21"/>
                <w:color w:val="auto"/>
              </w:rPr>
            </w:pPr>
          </w:p>
        </w:tc>
        <w:tc>
          <w:tcPr>
            <w:tcW w:w="900" w:type="dxa"/>
            <w:vAlign w:val="bottom"/>
          </w:tcPr>
          <w:p>
            <w:pPr>
              <w:spacing w:after="0" w:line="242" w:lineRule="exact"/>
              <w:rPr>
                <w:sz w:val="20"/>
                <w:szCs w:val="20"/>
                <w:color w:val="auto"/>
              </w:rPr>
            </w:pPr>
            <w:r>
              <w:rPr>
                <w:rFonts w:ascii="Arial" w:cs="Arial" w:eastAsia="Arial" w:hAnsi="Arial"/>
                <w:sz w:val="18"/>
                <w:szCs w:val="18"/>
                <w:color w:val="auto"/>
              </w:rPr>
              <w:t>2008</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9240" w:type="dxa"/>
            <w:vAlign w:val="bottom"/>
          </w:tcPr>
          <w:p>
            <w:pPr>
              <w:spacing w:after="0"/>
              <w:rPr>
                <w:sz w:val="21"/>
                <w:szCs w:val="21"/>
                <w:color w:val="auto"/>
              </w:rPr>
            </w:pP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Letter of Intent between the Company and Sudler &amp; Hennessy, dated September 30, 2008</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21.1</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List of Subsidiaries</w:t>
            </w:r>
            <w:r>
              <w:rPr>
                <w:rFonts w:ascii="Arial" w:cs="Arial" w:eastAsia="Arial" w:hAnsi="Arial"/>
                <w:sz w:val="25"/>
                <w:szCs w:val="25"/>
                <w:color w:val="auto"/>
                <w:vertAlign w:val="superscript"/>
              </w:rPr>
              <w:t>1</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Consent of Auditors (as filed herein)</w:t>
            </w:r>
            <w:r>
              <w:rPr>
                <w:rFonts w:ascii="Arial" w:cs="Arial" w:eastAsia="Arial" w:hAnsi="Arial"/>
                <w:sz w:val="25"/>
                <w:szCs w:val="25"/>
                <w:color w:val="auto"/>
                <w:vertAlign w:val="superscript"/>
              </w:rPr>
              <w:t>2</w:t>
            </w:r>
            <w:r>
              <w:rPr>
                <w:rFonts w:ascii="Arial" w:cs="Arial" w:eastAsia="Arial" w:hAnsi="Arial"/>
                <w:sz w:val="18"/>
                <w:szCs w:val="18"/>
                <w:color w:val="auto"/>
              </w:rPr>
              <w:t>.</w:t>
            </w:r>
          </w:p>
        </w:tc>
      </w:tr>
      <w:tr>
        <w:trPr>
          <w:trHeight w:val="243"/>
        </w:trPr>
        <w:tc>
          <w:tcPr>
            <w:tcW w:w="640" w:type="dxa"/>
            <w:vAlign w:val="bottom"/>
          </w:tcPr>
          <w:p>
            <w:pPr>
              <w:spacing w:after="0"/>
              <w:rPr>
                <w:sz w:val="20"/>
                <w:szCs w:val="20"/>
                <w:color w:val="auto"/>
              </w:rPr>
            </w:pPr>
            <w:r>
              <w:rPr>
                <w:rFonts w:ascii="Arial" w:cs="Arial" w:eastAsia="Arial" w:hAnsi="Arial"/>
                <w:sz w:val="18"/>
                <w:szCs w:val="18"/>
                <w:color w:val="auto"/>
              </w:rPr>
              <w:t>23.2</w:t>
            </w:r>
          </w:p>
        </w:tc>
        <w:tc>
          <w:tcPr>
            <w:tcW w:w="280" w:type="dxa"/>
            <w:vAlign w:val="bottom"/>
          </w:tcPr>
          <w:p>
            <w:pPr>
              <w:spacing w:after="0"/>
              <w:rPr>
                <w:sz w:val="21"/>
                <w:szCs w:val="21"/>
                <w:color w:val="auto"/>
              </w:rPr>
            </w:pPr>
          </w:p>
        </w:tc>
        <w:tc>
          <w:tcPr>
            <w:tcW w:w="10140" w:type="dxa"/>
            <w:vAlign w:val="bottom"/>
            <w:gridSpan w:val="2"/>
          </w:tcPr>
          <w:p>
            <w:pPr>
              <w:spacing w:after="0" w:line="242" w:lineRule="exact"/>
              <w:rPr>
                <w:sz w:val="20"/>
                <w:szCs w:val="20"/>
                <w:color w:val="auto"/>
              </w:rPr>
            </w:pPr>
            <w:r>
              <w:rPr>
                <w:rFonts w:ascii="Arial" w:cs="Arial" w:eastAsia="Arial" w:hAnsi="Arial"/>
                <w:sz w:val="18"/>
                <w:szCs w:val="18"/>
                <w:color w:val="auto"/>
              </w:rPr>
              <w:t xml:space="preserve">Consent of Sichenzia Ross Friedman Ference LLP (contained in Exhibit 5.1) </w:t>
            </w:r>
            <w:r>
              <w:rPr>
                <w:rFonts w:ascii="Arial" w:cs="Arial" w:eastAsia="Arial" w:hAnsi="Arial"/>
                <w:sz w:val="25"/>
                <w:szCs w:val="25"/>
                <w:color w:val="auto"/>
                <w:vertAlign w:val="superscript"/>
              </w:rPr>
              <w:t>2</w:t>
            </w:r>
            <w:r>
              <w:rPr>
                <w:rFonts w:ascii="Arial" w:cs="Arial" w:eastAsia="Arial" w:hAnsi="Arial"/>
                <w:sz w:val="18"/>
                <w:szCs w:val="18"/>
                <w:color w:val="auto"/>
              </w:rPr>
              <w:t>.</w:t>
            </w:r>
          </w:p>
        </w:tc>
      </w:tr>
      <w:tr>
        <w:trPr>
          <w:trHeight w:val="329"/>
        </w:trPr>
        <w:tc>
          <w:tcPr>
            <w:tcW w:w="64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Form of Common Stock Certificate</w:t>
            </w:r>
            <w:r>
              <w:rPr>
                <w:rFonts w:ascii="Arial" w:cs="Arial" w:eastAsia="Arial" w:hAnsi="Arial"/>
                <w:sz w:val="25"/>
                <w:szCs w:val="25"/>
                <w:color w:val="auto"/>
                <w:vertAlign w:val="superscript"/>
              </w:rPr>
              <w:t>1</w:t>
            </w:r>
            <w:r>
              <w:rPr>
                <w:rFonts w:ascii="Arial" w:cs="Arial" w:eastAsia="Arial" w:hAnsi="Arial"/>
                <w:sz w:val="18"/>
                <w:szCs w:val="18"/>
                <w:color w:val="auto"/>
              </w:rPr>
              <w:t>.</w:t>
            </w:r>
          </w:p>
        </w:tc>
      </w:tr>
    </w:tbl>
    <w:p>
      <w:pPr>
        <w:spacing w:after="0" w:line="96"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Incorporated by reference to the Form S-1, filed by the Company with the Securities and Exchange Commission on November 12, 2008.</w:t>
      </w:r>
    </w:p>
    <w:p>
      <w:pPr>
        <w:spacing w:after="0"/>
        <w:rPr>
          <w:sz w:val="20"/>
          <w:szCs w:val="20"/>
          <w:color w:val="auto"/>
        </w:rPr>
      </w:pPr>
      <w:r>
        <w:rPr>
          <w:rFonts w:ascii="Arial" w:cs="Arial" w:eastAsia="Arial" w:hAnsi="Arial"/>
          <w:sz w:val="24"/>
          <w:szCs w:val="24"/>
          <w:color w:val="auto"/>
          <w:vertAlign w:val="superscript"/>
        </w:rPr>
        <w:t>2</w:t>
      </w:r>
      <w:r>
        <w:rPr>
          <w:rFonts w:ascii="Arial" w:cs="Arial" w:eastAsia="Arial" w:hAnsi="Arial"/>
          <w:sz w:val="17"/>
          <w:szCs w:val="17"/>
          <w:color w:val="auto"/>
        </w:rPr>
        <w:t>Incorporated by reference to the Form S-1/A-3, filed by the Company with the Securities and Exchange Commission on February 11, 2009.</w:t>
      </w:r>
    </w:p>
    <w:p>
      <w:pPr>
        <w:spacing w:after="0" w:line="187"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364" w:right="59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March 26, 2009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7"/>
                <w:szCs w:val="17"/>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3"/>
              </w:rPr>
              <w:t>/s/ David A Harrell</w:t>
            </w:r>
          </w:p>
        </w:tc>
        <w:tc>
          <w:tcPr>
            <w:tcW w:w="7880" w:type="dxa"/>
            <w:vAlign w:val="bottom"/>
          </w:tcPr>
          <w:p>
            <w:pPr>
              <w:spacing w:after="0"/>
              <w:rPr>
                <w:sz w:val="17"/>
                <w:szCs w:val="17"/>
                <w:color w:val="auto"/>
              </w:rPr>
            </w:pPr>
          </w:p>
        </w:tc>
      </w:tr>
      <w:tr>
        <w:trPr>
          <w:trHeight w:val="222"/>
        </w:trPr>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60" w:type="dxa"/>
            <w:vAlign w:val="bottom"/>
            <w:gridSpan w:val="2"/>
          </w:tcPr>
          <w:p>
            <w:pPr>
              <w:ind w:left="20"/>
              <w:spacing w:after="0"/>
              <w:rPr>
                <w:sz w:val="20"/>
                <w:szCs w:val="20"/>
                <w:color w:val="auto"/>
              </w:rPr>
            </w:pPr>
            <w:r>
              <w:rPr>
                <w:rFonts w:ascii="Arial" w:cs="Arial" w:eastAsia="Arial" w:hAnsi="Arial"/>
                <w:sz w:val="18"/>
                <w:szCs w:val="18"/>
                <w:color w:val="auto"/>
              </w:rPr>
              <w:t>David A. Harrell</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9360" w:type="dxa"/>
            <w:vAlign w:val="bottom"/>
            <w:gridSpan w:val="3"/>
          </w:tcPr>
          <w:p>
            <w:pPr>
              <w:ind w:left="100"/>
              <w:spacing w:after="0"/>
              <w:rPr>
                <w:sz w:val="20"/>
                <w:szCs w:val="20"/>
                <w:color w:val="auto"/>
              </w:rPr>
            </w:pPr>
            <w:r>
              <w:rPr>
                <w:rFonts w:ascii="Arial" w:cs="Arial" w:eastAsia="Arial" w:hAnsi="Arial"/>
                <w:sz w:val="18"/>
                <w:szCs w:val="18"/>
                <w:color w:val="auto"/>
                <w:w w:val="93"/>
              </w:rPr>
              <w:t>Chief Executive Officer and Director (Principal Executive Officer, Principal Financial Officer and Principal Accounting Officer)</w:t>
            </w:r>
          </w:p>
        </w:tc>
      </w:tr>
    </w:tbl>
    <w:p>
      <w:pPr>
        <w:spacing w:after="0" w:line="1" w:lineRule="exact"/>
        <w:rPr>
          <w:sz w:val="20"/>
          <w:szCs w:val="20"/>
          <w:color w:val="auto"/>
        </w:rPr>
      </w:pPr>
    </w:p>
    <w:sectPr>
      <w:pgSz w:w="11900" w:h="16838" w:orient="portrait"/>
      <w:cols w:equalWidth="0" w:num="1">
        <w:col w:w="11220"/>
      </w:cols>
      <w:pgMar w:left="240" w:top="364"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2019-12-11T05:43:28Z</dcterms:created>
  <dcterms:modified xsi:type="dcterms:W3CDTF">2019-12-11T05:43:28Z</dcterms:modified>
</cp:coreProperties>
</file>