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6993890" cy="47745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890" cy="4774565"/>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D'Silva Andrew J.</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right="520"/>
        <w:spacing w:after="0" w:line="327" w:lineRule="auto"/>
        <w:rPr>
          <w:sz w:val="20"/>
          <w:szCs w:val="20"/>
          <w:color w:val="auto"/>
        </w:rPr>
      </w:pPr>
      <w:r>
        <w:rPr>
          <w:rFonts w:ascii="Times New Roman" w:cs="Times New Roman" w:eastAsia="Times New Roman" w:hAnsi="Times New Roman"/>
          <w:sz w:val="16"/>
          <w:szCs w:val="16"/>
          <w:color w:val="0000FF"/>
        </w:rPr>
        <w:t>C/O OPTIMIZERX CORPORATION 260 CHARLES STREET, SUITE 302</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OptimizeRx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OPRX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5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08/21/2025</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820"/>
        <w:spacing w:after="0"/>
        <w:rPr>
          <w:sz w:val="20"/>
          <w:szCs w:val="20"/>
          <w:color w:val="auto"/>
        </w:rPr>
      </w:pPr>
      <w:r>
        <w:rPr>
          <w:rFonts w:ascii="Times New Roman" w:cs="Times New Roman" w:eastAsia="Times New Roman" w:hAnsi="Times New Roman"/>
          <w:sz w:val="17"/>
          <w:szCs w:val="17"/>
          <w:color w:val="0000FF"/>
        </w:rPr>
        <w:t>Chief Business Officer</w:t>
      </w:r>
    </w:p>
    <w:p>
      <w:pPr>
        <w:spacing w:after="0" w:line="435"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80" w:type="dxa"/>
            <w:vAlign w:val="bottom"/>
            <w:gridSpan w:val="10"/>
          </w:tcPr>
          <w:p>
            <w:pPr>
              <w:jc w:val="center"/>
              <w:ind w:right="34"/>
              <w:spacing w:after="0" w:line="110" w:lineRule="exact"/>
              <w:rPr>
                <w:sz w:val="20"/>
                <w:szCs w:val="20"/>
                <w:color w:val="auto"/>
              </w:rPr>
            </w:pPr>
            <w:r>
              <w:rPr>
                <w:rFonts w:ascii="Arial" w:cs="Arial" w:eastAsia="Arial" w:hAnsi="Arial"/>
                <w:sz w:val="12"/>
                <w:szCs w:val="12"/>
                <w:color w:val="auto"/>
              </w:rPr>
              <w:t>4. If Amendment, Date of Original Filed (Month/Day/Year)</w:t>
            </w:r>
          </w:p>
        </w:tc>
        <w:tc>
          <w:tcPr>
            <w:tcW w:w="3640" w:type="dxa"/>
            <w:vAlign w:val="bottom"/>
            <w:gridSpan w:val="10"/>
          </w:tcPr>
          <w:p>
            <w:pPr>
              <w:ind w:left="300"/>
              <w:spacing w:after="0" w:line="110" w:lineRule="exact"/>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WALTHAM</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MA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02453</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7"/>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7"/>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54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12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2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V</w:t>
            </w:r>
          </w:p>
        </w:tc>
        <w:tc>
          <w:tcPr>
            <w:tcW w:w="14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1"/>
                <w:szCs w:val="11"/>
                <w:color w:val="auto"/>
              </w:rPr>
            </w:pPr>
          </w:p>
        </w:tc>
        <w:tc>
          <w:tcPr>
            <w:tcW w:w="520" w:type="dxa"/>
            <w:vAlign w:val="bottom"/>
          </w:tcPr>
          <w:p>
            <w:pPr>
              <w:ind w:left="180"/>
              <w:spacing w:after="0" w:line="129" w:lineRule="exact"/>
              <w:rPr>
                <w:sz w:val="20"/>
                <w:szCs w:val="20"/>
                <w:color w:val="auto"/>
              </w:rPr>
            </w:pPr>
            <w:r>
              <w:rPr>
                <w:rFonts w:ascii="Arial" w:cs="Arial" w:eastAsia="Arial" w:hAnsi="Arial"/>
                <w:sz w:val="12"/>
                <w:szCs w:val="12"/>
                <w:b w:val="1"/>
                <w:bCs w:val="1"/>
                <w:color w:val="auto"/>
                <w:w w:val="99"/>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vMerge w:val="continue"/>
          </w:tcPr>
          <w:p>
            <w:pPr>
              <w:spacing w:after="0"/>
              <w:rPr>
                <w:sz w:val="8"/>
                <w:szCs w:val="8"/>
                <w:color w:val="auto"/>
              </w:rPr>
            </w:pPr>
          </w:p>
        </w:tc>
        <w:tc>
          <w:tcPr>
            <w:tcW w:w="2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3"/>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08/21/2025</w:t>
            </w:r>
          </w:p>
        </w:tc>
        <w:tc>
          <w:tcPr>
            <w:tcW w:w="5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24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w w:val="84"/>
              </w:rPr>
              <w:t>V</w:t>
            </w:r>
          </w:p>
        </w:tc>
        <w:tc>
          <w:tcPr>
            <w:tcW w:w="1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ind w:left="100"/>
              <w:spacing w:after="0"/>
              <w:rPr>
                <w:sz w:val="20"/>
                <w:szCs w:val="20"/>
                <w:color w:val="auto"/>
              </w:rPr>
            </w:pPr>
            <w:r>
              <w:rPr>
                <w:rFonts w:ascii="Times New Roman" w:cs="Times New Roman" w:eastAsia="Times New Roman" w:hAnsi="Times New Roman"/>
                <w:sz w:val="17"/>
                <w:szCs w:val="17"/>
                <w:color w:val="0000FF"/>
                <w:w w:val="91"/>
              </w:rPr>
              <w:t>10,417</w:t>
            </w:r>
            <w:r>
              <w:rPr>
                <w:rFonts w:ascii="Times New Roman" w:cs="Times New Roman" w:eastAsia="Times New Roman" w:hAnsi="Times New Roman"/>
                <w:sz w:val="21"/>
                <w:szCs w:val="21"/>
                <w:color w:val="008000"/>
                <w:w w:val="91"/>
                <w:vertAlign w:val="superscript"/>
              </w:rPr>
              <w:t>(1)</w:t>
            </w:r>
          </w:p>
        </w:tc>
        <w:tc>
          <w:tcPr>
            <w:tcW w:w="5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47,514</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6"/>
          </w:tcPr>
          <w:p>
            <w:pPr>
              <w:jc w:val="center"/>
              <w:ind w:right="10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4"/>
          </w:tcPr>
          <w:p>
            <w:pPr>
              <w:jc w:val="center"/>
              <w:ind w:left="473"/>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5"/>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5"/>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240" w:type="dxa"/>
            <w:vAlign w:val="bottom"/>
          </w:tcPr>
          <w:p>
            <w:pPr>
              <w:spacing w:after="0"/>
              <w:rPr>
                <w:sz w:val="11"/>
                <w:szCs w:val="11"/>
                <w:color w:val="auto"/>
              </w:rPr>
            </w:pPr>
          </w:p>
        </w:tc>
        <w:tc>
          <w:tcPr>
            <w:tcW w:w="6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Expiration</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16.14</w:t>
            </w:r>
          </w:p>
        </w:tc>
        <w:tc>
          <w:tcPr>
            <w:tcW w:w="140" w:type="dxa"/>
            <w:vAlign w:val="bottom"/>
          </w:tcPr>
          <w:p>
            <w:pPr>
              <w:spacing w:after="0"/>
              <w:rPr>
                <w:sz w:val="20"/>
                <w:szCs w:val="20"/>
                <w:color w:val="auto"/>
              </w:rPr>
            </w:pPr>
          </w:p>
        </w:tc>
        <w:tc>
          <w:tcPr>
            <w:tcW w:w="104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08/21/2025</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23,437</w:t>
            </w:r>
          </w:p>
        </w:tc>
        <w:tc>
          <w:tcPr>
            <w:tcW w:w="340" w:type="dxa"/>
            <w:vAlign w:val="bottom"/>
          </w:tcPr>
          <w:p>
            <w:pPr>
              <w:spacing w:after="0"/>
              <w:rPr>
                <w:sz w:val="20"/>
                <w:szCs w:val="20"/>
                <w:color w:val="auto"/>
              </w:rPr>
            </w:pPr>
          </w:p>
        </w:tc>
        <w:tc>
          <w:tcPr>
            <w:tcW w:w="54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240" w:type="dxa"/>
            <w:vAlign w:val="bottom"/>
          </w:tcPr>
          <w:p>
            <w:pPr>
              <w:spacing w:after="0"/>
              <w:rPr>
                <w:sz w:val="20"/>
                <w:szCs w:val="20"/>
                <w:color w:val="auto"/>
              </w:rPr>
            </w:pPr>
          </w:p>
        </w:tc>
        <w:tc>
          <w:tcPr>
            <w:tcW w:w="6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0000FF"/>
              </w:rPr>
              <w:t>08/21/2030</w:t>
            </w: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w w:val="94"/>
              </w:rPr>
              <w:t>23,437</w:t>
            </w:r>
          </w:p>
        </w:tc>
        <w:tc>
          <w:tcPr>
            <w:tcW w:w="60" w:type="dxa"/>
            <w:vAlign w:val="bottom"/>
          </w:tcPr>
          <w:p>
            <w:pPr>
              <w:spacing w:after="0"/>
              <w:rPr>
                <w:sz w:val="20"/>
                <w:szCs w:val="20"/>
                <w:color w:val="auto"/>
              </w:rPr>
            </w:pPr>
          </w:p>
        </w:tc>
        <w:tc>
          <w:tcPr>
            <w:tcW w:w="68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40"/>
              <w:spacing w:after="0"/>
              <w:rPr>
                <w:sz w:val="20"/>
                <w:szCs w:val="20"/>
                <w:color w:val="auto"/>
              </w:rPr>
            </w:pPr>
            <w:r>
              <w:rPr>
                <w:rFonts w:ascii="Times New Roman" w:cs="Times New Roman" w:eastAsia="Times New Roman" w:hAnsi="Times New Roman"/>
                <w:sz w:val="13"/>
                <w:szCs w:val="13"/>
                <w:color w:val="0000FF"/>
                <w:w w:val="94"/>
              </w:rPr>
              <w:t>23,437</w:t>
            </w:r>
          </w:p>
        </w:tc>
        <w:tc>
          <w:tcPr>
            <w:tcW w:w="280" w:type="dxa"/>
            <w:vAlign w:val="bottom"/>
          </w:tcPr>
          <w:p>
            <w:pPr>
              <w:spacing w:after="0"/>
              <w:rPr>
                <w:sz w:val="20"/>
                <w:szCs w:val="20"/>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2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114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-1920240</wp:posOffset>
            </wp:positionV>
            <wp:extent cx="29210" cy="19253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192532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38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 of restricted stock units representing a contingent right to receive shares of OptimizeRx common stock. The restricted stock units will vest in three equal annual installments beginning on August 21, 2026, which is the first anniversary of the grant date.</w:t>
      </w:r>
    </w:p>
    <w:p>
      <w:pPr>
        <w:spacing w:after="0" w:line="17"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 vests in three equal annual installments beginning August 21, 2026, the first anniversary of the grant 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0" w:lineRule="exact"/>
        <w:rPr>
          <w:sz w:val="24"/>
          <w:szCs w:val="24"/>
          <w:color w:val="auto"/>
        </w:rPr>
      </w:pPr>
    </w:p>
    <w:p>
      <w:pPr>
        <w:ind w:left="40" w:right="340"/>
        <w:spacing w:after="0" w:line="255" w:lineRule="auto"/>
        <w:rPr>
          <w:sz w:val="20"/>
          <w:szCs w:val="20"/>
          <w:color w:val="auto"/>
        </w:rPr>
      </w:pPr>
      <w:r>
        <w:rPr>
          <w:rFonts w:ascii="Times New Roman" w:cs="Times New Roman" w:eastAsia="Times New Roman" w:hAnsi="Times New Roman"/>
          <w:sz w:val="13"/>
          <w:szCs w:val="13"/>
          <w:color w:val="008000"/>
        </w:rPr>
        <w:t>The filing of this Statement shall not be construed as an admission (a) that the person filing this Statement is, for the purposes of Section 16 of the Securities Exchange Act of 1934, as amended, the beneficial owner of any equity securities covered by this Statement, or (b) that this Statement is legally required to be filed by such person.</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Marion Odence-Ford, by</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10/06/2025</w:t>
            </w:r>
          </w:p>
        </w:tc>
        <w:tc>
          <w:tcPr>
            <w:tcW w:w="0" w:type="dxa"/>
            <w:vAlign w:val="bottom"/>
          </w:tcPr>
          <w:p>
            <w:pPr>
              <w:spacing w:after="0"/>
              <w:rPr>
                <w:sz w:val="1"/>
                <w:szCs w:val="1"/>
                <w:color w:val="auto"/>
              </w:rPr>
            </w:pPr>
          </w:p>
        </w:tc>
      </w:tr>
      <w:tr>
        <w:trPr>
          <w:trHeight w:val="88"/>
        </w:trPr>
        <w:tc>
          <w:tcPr>
            <w:tcW w:w="1860" w:type="dxa"/>
            <w:vAlign w:val="bottom"/>
            <w:tcBorders>
              <w:top w:val="single" w:sz="8" w:color="auto"/>
              <w:bottom w:val="single" w:sz="8" w:color="auto"/>
            </w:tcBorders>
            <w:gridSpan w:val="2"/>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Power of Attorney</w:t>
            </w:r>
          </w:p>
        </w:tc>
        <w:tc>
          <w:tcPr>
            <w:tcW w:w="34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860" w:type="dxa"/>
            <w:vAlign w:val="bottom"/>
            <w:gridSpan w:val="2"/>
            <w:vMerge w:val="continue"/>
          </w:tcPr>
          <w:p>
            <w:pPr>
              <w:spacing w:after="0"/>
              <w:rPr>
                <w:sz w:val="7"/>
                <w:szCs w:val="7"/>
                <w:color w:val="auto"/>
              </w:rPr>
            </w:pPr>
          </w:p>
        </w:tc>
        <w:tc>
          <w:tcPr>
            <w:tcW w:w="34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40" w:type="dxa"/>
            <w:vAlign w:val="bottom"/>
            <w:shd w:val="clear" w:color="auto" w:fill="000000"/>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83717" TargetMode="External"/><Relationship Id="rId14" Type="http://schemas.openxmlformats.org/officeDocument/2006/relationships/hyperlink" Target="http://www.sec.gov/cgi-bin/browse-edgar?action=getcompany&amp;CIK=00014484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2025-10-07T10:29:58Z</dcterms:created>
  <dcterms:modified xsi:type="dcterms:W3CDTF">2025-10-07T10:29:58Z</dcterms:modified>
</cp:coreProperties>
</file>