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2540" w:hanging="212"/>
        <w:spacing w:after="0"/>
        <w:tabs>
          <w:tab w:leader="none" w:pos="2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September 30, 2021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2800" w:hanging="202"/>
        <w:spacing w:after="0"/>
        <w:tabs>
          <w:tab w:leader="none" w:pos="2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13 or 15(d) of the Securities Exchange Act of 1934</w:t>
      </w:r>
    </w:p>
    <w:p>
      <w:pPr>
        <w:spacing w:after="0" w:line="225"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For the transition period from ________ to 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001-38543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ind w:left="2480"/>
              <w:spacing w:after="0"/>
              <w:rPr>
                <w:sz w:val="20"/>
                <w:szCs w:val="20"/>
                <w:color w:val="auto"/>
              </w:rPr>
            </w:pPr>
            <w:r>
              <w:rPr>
                <w:rFonts w:ascii="Arial" w:cs="Arial" w:eastAsia="Arial" w:hAnsi="Arial"/>
                <w:sz w:val="18"/>
                <w:szCs w:val="18"/>
                <w:b w:val="1"/>
                <w:bCs w:val="1"/>
                <w:color w:val="auto"/>
              </w:rPr>
              <w:t>Nevada</w:t>
            </w:r>
          </w:p>
        </w:tc>
        <w:tc>
          <w:tcPr>
            <w:tcW w:w="7220" w:type="dxa"/>
            <w:vAlign w:val="bottom"/>
            <w:gridSpan w:val="7"/>
          </w:tcPr>
          <w:p>
            <w:pPr>
              <w:jc w:val="right"/>
              <w:ind w:right="223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4020" w:type="dxa"/>
            <w:vAlign w:val="bottom"/>
            <w:tcBorders>
              <w:top w:val="single" w:sz="8" w:color="auto"/>
            </w:tcBorders>
          </w:tcPr>
          <w:p>
            <w:pPr>
              <w:ind w:left="1700"/>
              <w:spacing w:after="0" w:line="201" w:lineRule="exact"/>
              <w:rPr>
                <w:sz w:val="20"/>
                <w:szCs w:val="20"/>
                <w:color w:val="auto"/>
              </w:rPr>
            </w:pPr>
            <w:r>
              <w:rPr>
                <w:rFonts w:ascii="Arial" w:cs="Arial" w:eastAsia="Arial" w:hAnsi="Arial"/>
                <w:sz w:val="18"/>
                <w:szCs w:val="18"/>
                <w:color w:val="auto"/>
              </w:rPr>
              <w:t>(State or other jurisdiction of</w:t>
            </w:r>
          </w:p>
        </w:tc>
        <w:tc>
          <w:tcPr>
            <w:tcW w:w="8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0" w:type="dxa"/>
            <w:vAlign w:val="bottom"/>
            <w:tcBorders>
              <w:top w:val="single" w:sz="8" w:color="auto"/>
            </w:tcBorders>
          </w:tcPr>
          <w:p>
            <w:pPr>
              <w:ind w:left="148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020" w:type="dxa"/>
            <w:vAlign w:val="bottom"/>
          </w:tcPr>
          <w:p>
            <w:pPr>
              <w:ind w:left="1680"/>
              <w:spacing w:after="0"/>
              <w:rPr>
                <w:sz w:val="20"/>
                <w:szCs w:val="20"/>
                <w:color w:val="auto"/>
              </w:rPr>
            </w:pPr>
            <w:r>
              <w:rPr>
                <w:rFonts w:ascii="Arial" w:cs="Arial" w:eastAsia="Arial" w:hAnsi="Arial"/>
                <w:sz w:val="18"/>
                <w:szCs w:val="18"/>
                <w:color w:val="auto"/>
                <w:w w:val="99"/>
              </w:rPr>
              <w:t>incorporation or organization)</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0" w:type="dxa"/>
            <w:vAlign w:val="bottom"/>
          </w:tcPr>
          <w:p>
            <w:pPr>
              <w:jc w:val="center"/>
              <w:ind w:right="6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020" w:type="dxa"/>
            <w:vAlign w:val="bottom"/>
          </w:tcPr>
          <w:p>
            <w:pPr>
              <w:spacing w:after="0"/>
              <w:rPr>
                <w:sz w:val="24"/>
                <w:szCs w:val="24"/>
                <w:color w:val="auto"/>
              </w:rPr>
            </w:pPr>
          </w:p>
        </w:tc>
        <w:tc>
          <w:tcPr>
            <w:tcW w:w="7220" w:type="dxa"/>
            <w:vAlign w:val="bottom"/>
            <w:gridSpan w:val="7"/>
          </w:tcPr>
          <w:p>
            <w:pPr>
              <w:jc w:val="center"/>
              <w:ind w:right="3930"/>
              <w:spacing w:after="0"/>
              <w:rPr>
                <w:sz w:val="20"/>
                <w:szCs w:val="20"/>
                <w:color w:val="auto"/>
              </w:rPr>
            </w:pPr>
            <w:r>
              <w:rPr>
                <w:rFonts w:ascii="Arial" w:cs="Arial" w:eastAsia="Arial" w:hAnsi="Arial"/>
                <w:sz w:val="18"/>
                <w:szCs w:val="18"/>
                <w:b w:val="1"/>
                <w:bCs w:val="1"/>
                <w:color w:val="auto"/>
                <w:w w:val="90"/>
              </w:rPr>
              <w:t>400 Water Street, Suite 200</w:t>
            </w:r>
          </w:p>
        </w:tc>
      </w:tr>
      <w:tr>
        <w:trPr>
          <w:trHeight w:val="194"/>
        </w:trPr>
        <w:tc>
          <w:tcPr>
            <w:tcW w:w="4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20" w:type="dxa"/>
            <w:vAlign w:val="bottom"/>
            <w:tcBorders>
              <w:bottom w:val="single" w:sz="8" w:color="auto"/>
            </w:tcBorders>
            <w:gridSpan w:val="5"/>
          </w:tcPr>
          <w:p>
            <w:pPr>
              <w:jc w:val="center"/>
              <w:spacing w:after="0" w:line="194" w:lineRule="exact"/>
              <w:rPr>
                <w:sz w:val="20"/>
                <w:szCs w:val="20"/>
                <w:color w:val="auto"/>
              </w:rPr>
            </w:pPr>
            <w:r>
              <w:rPr>
                <w:rFonts w:ascii="Arial" w:cs="Arial" w:eastAsia="Arial" w:hAnsi="Arial"/>
                <w:sz w:val="18"/>
                <w:szCs w:val="18"/>
                <w:b w:val="1"/>
                <w:bCs w:val="1"/>
                <w:color w:val="auto"/>
                <w:w w:val="90"/>
              </w:rPr>
              <w:t>Rochester, MI, 48307</w:t>
            </w:r>
          </w:p>
        </w:tc>
        <w:tc>
          <w:tcPr>
            <w:tcW w:w="4800" w:type="dxa"/>
            <w:vAlign w:val="bottom"/>
          </w:tcPr>
          <w:p>
            <w:pPr>
              <w:spacing w:after="0"/>
              <w:rPr>
                <w:sz w:val="16"/>
                <w:szCs w:val="16"/>
                <w:color w:val="auto"/>
              </w:rPr>
            </w:pPr>
          </w:p>
        </w:tc>
      </w:tr>
      <w:tr>
        <w:trPr>
          <w:trHeight w:val="237"/>
        </w:trPr>
        <w:tc>
          <w:tcPr>
            <w:tcW w:w="4020" w:type="dxa"/>
            <w:vAlign w:val="bottom"/>
          </w:tcPr>
          <w:p>
            <w:pPr>
              <w:spacing w:after="0"/>
              <w:rPr>
                <w:sz w:val="20"/>
                <w:szCs w:val="20"/>
                <w:color w:val="auto"/>
              </w:rPr>
            </w:pPr>
          </w:p>
        </w:tc>
        <w:tc>
          <w:tcPr>
            <w:tcW w:w="7220" w:type="dxa"/>
            <w:vAlign w:val="bottom"/>
            <w:gridSpan w:val="7"/>
          </w:tcPr>
          <w:p>
            <w:pPr>
              <w:jc w:val="center"/>
              <w:ind w:right="391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020" w:type="dxa"/>
            <w:vAlign w:val="bottom"/>
          </w:tcPr>
          <w:p>
            <w:pPr>
              <w:spacing w:after="0"/>
              <w:rPr>
                <w:sz w:val="24"/>
                <w:szCs w:val="24"/>
                <w:color w:val="auto"/>
              </w:rPr>
            </w:pPr>
          </w:p>
        </w:tc>
        <w:tc>
          <w:tcPr>
            <w:tcW w:w="2120" w:type="dxa"/>
            <w:vAlign w:val="bottom"/>
            <w:gridSpan w:val="5"/>
          </w:tcPr>
          <w:p>
            <w:pPr>
              <w:jc w:val="center"/>
              <w:ind w:left="1010"/>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0"/>
        </w:trPr>
        <w:tc>
          <w:tcPr>
            <w:tcW w:w="40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237"/>
        </w:trPr>
        <w:tc>
          <w:tcPr>
            <w:tcW w:w="4020" w:type="dxa"/>
            <w:vAlign w:val="bottom"/>
          </w:tcPr>
          <w:p>
            <w:pPr>
              <w:spacing w:after="0"/>
              <w:rPr>
                <w:sz w:val="20"/>
                <w:szCs w:val="20"/>
                <w:color w:val="auto"/>
              </w:rPr>
            </w:pPr>
          </w:p>
        </w:tc>
        <w:tc>
          <w:tcPr>
            <w:tcW w:w="7220" w:type="dxa"/>
            <w:vAlign w:val="bottom"/>
            <w:gridSpan w:val="7"/>
          </w:tcPr>
          <w:p>
            <w:pPr>
              <w:jc w:val="center"/>
              <w:ind w:right="3930"/>
              <w:spacing w:after="0"/>
              <w:rPr>
                <w:sz w:val="20"/>
                <w:szCs w:val="20"/>
                <w:color w:val="auto"/>
              </w:rPr>
            </w:pPr>
            <w:r>
              <w:rPr>
                <w:rFonts w:ascii="Arial" w:cs="Arial" w:eastAsia="Arial" w:hAnsi="Arial"/>
                <w:sz w:val="18"/>
                <w:szCs w:val="18"/>
                <w:color w:val="auto"/>
                <w:w w:val="90"/>
              </w:rPr>
              <w:t>(Registrant’s telephone number)</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7"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4900" w:space="720"/>
            <w:col w:w="5620"/>
          </w:cols>
          <w:pgMar w:left="320" w:top="517" w:right="339" w:bottom="1440" w:gutter="0" w:footer="0" w:header="0"/>
          <w:type w:val="continuous"/>
        </w:sectPr>
      </w:pPr>
    </w:p>
    <w:p>
      <w:pPr>
        <w:spacing w:after="0" w:line="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17,769,544 common shares as of November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8"/>
          </w:tcPr>
          <w:p>
            <w:pPr>
              <w:jc w:val="center"/>
              <w:ind w:right="308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17"/>
                <w:szCs w:val="17"/>
                <w:color w:val="auto"/>
              </w:rPr>
            </w:pPr>
          </w:p>
        </w:tc>
      </w:tr>
      <w:tr>
        <w:trPr>
          <w:trHeight w:val="459"/>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Page</w:t>
            </w:r>
          </w:p>
        </w:tc>
      </w:tr>
      <w:tr>
        <w:trPr>
          <w:trHeight w:val="392"/>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60" w:type="dxa"/>
            <w:vAlign w:val="bottom"/>
            <w:gridSpan w:val="9"/>
          </w:tcPr>
          <w:p>
            <w:pPr>
              <w:jc w:val="center"/>
              <w:ind w:right="292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92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3140" w:type="dxa"/>
            <w:vAlign w:val="bottom"/>
            <w:tcBorders>
              <w:top w:val="single" w:sz="8" w:color="0000EE"/>
            </w:tcBorders>
            <w:gridSpan w:val="7"/>
          </w:tcPr>
          <w:p>
            <w:pPr>
              <w:spacing w:after="0"/>
              <w:rPr>
                <w:sz w:val="24"/>
                <w:szCs w:val="24"/>
                <w:color w:val="auto"/>
              </w:rPr>
            </w:pPr>
          </w:p>
        </w:tc>
        <w:tc>
          <w:tcPr>
            <w:tcW w:w="2920" w:type="dxa"/>
            <w:vAlign w:val="bottom"/>
            <w:gridSpan w:val="2"/>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252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89"/>
              </w:rPr>
              <w:t>14</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4620" w:type="dxa"/>
            <w:vAlign w:val="bottom"/>
            <w:gridSpan w:val="5"/>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980" w:type="dxa"/>
            <w:vAlign w:val="bottom"/>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r>
      <w:tr>
        <w:trPr>
          <w:trHeight w:val="412"/>
        </w:trPr>
        <w:tc>
          <w:tcPr>
            <w:tcW w:w="11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 OTHER INFORMATION</w:t>
              </w:r>
            </w:hyperlink>
          </w:p>
        </w:tc>
        <w:tc>
          <w:tcPr>
            <w:tcW w:w="3060" w:type="dxa"/>
            <w:vAlign w:val="bottom"/>
            <w:gridSpan w:val="3"/>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7640" w:type="dxa"/>
            <w:vAlign w:val="bottom"/>
            <w:gridSpan w:val="13"/>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98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98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4640" w:type="dxa"/>
            <w:vAlign w:val="bottom"/>
            <w:gridSpan w:val="6"/>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23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w:t>
              </w:r>
            </w:hyperlink>
          </w:p>
        </w:tc>
        <w:tc>
          <w:tcPr>
            <w:tcW w:w="6600" w:type="dxa"/>
            <w:vAlign w:val="bottom"/>
            <w:gridSpan w:val="10"/>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Other Information</w:t>
              </w:r>
            </w:hyperlink>
          </w:p>
        </w:tc>
        <w:tc>
          <w:tcPr>
            <w:tcW w:w="380" w:type="dxa"/>
            <w:vAlign w:val="bottom"/>
            <w:tcBorders>
              <w:top w:val="single" w:sz="8" w:color="0000EE"/>
            </w:tcBorders>
            <w:gridSpan w:val="2"/>
          </w:tcPr>
          <w:p>
            <w:pPr>
              <w:spacing w:after="0"/>
              <w:rPr>
                <w:sz w:val="17"/>
                <w:szCs w:val="17"/>
                <w:color w:val="auto"/>
              </w:rPr>
            </w:pPr>
          </w:p>
        </w:tc>
        <w:tc>
          <w:tcPr>
            <w:tcW w:w="7280" w:type="dxa"/>
            <w:vAlign w:val="bottom"/>
            <w:gridSpan w:val="12"/>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98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financial statements included in this Form 10-Q are as follows:</w:t>
      </w:r>
    </w:p>
    <w:p>
      <w:pPr>
        <w:spacing w:after="0" w:line="221" w:lineRule="exact"/>
        <w:rPr>
          <w:sz w:val="20"/>
          <w:szCs w:val="20"/>
          <w:color w:val="auto"/>
        </w:rPr>
      </w:pPr>
    </w:p>
    <w:p>
      <w:pPr>
        <w:jc w:val="center"/>
        <w:ind w:right="9420"/>
        <w:spacing w:after="0"/>
        <w:rPr>
          <w:sz w:val="20"/>
          <w:szCs w:val="20"/>
          <w:color w:val="auto"/>
        </w:rPr>
      </w:pPr>
      <w:r>
        <w:rPr>
          <w:rFonts w:ascii="Arial" w:cs="Arial" w:eastAsia="Arial" w:hAnsi="Arial"/>
          <w:sz w:val="18"/>
          <w:szCs w:val="18"/>
          <w:b w:val="1"/>
          <w:bCs w:val="1"/>
          <w:color w:val="auto"/>
        </w:rPr>
        <w:t>Page</w:t>
      </w:r>
    </w:p>
    <w:p>
      <w:pPr>
        <w:spacing w:after="0" w:line="27" w:lineRule="exact"/>
        <w:rPr>
          <w:sz w:val="20"/>
          <w:szCs w:val="20"/>
          <w:color w:val="auto"/>
        </w:rPr>
      </w:pPr>
    </w:p>
    <w:p>
      <w:pPr>
        <w:jc w:val="center"/>
        <w:ind w:right="942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0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1140" w:hanging="610"/>
        <w:spacing w:after="0"/>
        <w:tabs>
          <w:tab w:leader="none" w:pos="1140"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September 30, 2021 (unaudited) and December 31, 2020 (unaudited);</w:t>
        </w:r>
      </w:hyperlink>
    </w:p>
    <w:p>
      <w:pPr>
        <w:spacing w:after="0" w:line="23" w:lineRule="exact"/>
        <w:rPr>
          <w:sz w:val="20"/>
          <w:szCs w:val="20"/>
          <w:color w:val="auto"/>
        </w:rPr>
      </w:pPr>
    </w:p>
    <w:p>
      <w:pPr>
        <w:ind w:left="1140" w:hanging="610"/>
        <w:spacing w:after="0"/>
        <w:tabs>
          <w:tab w:leader="none" w:pos="1140" w:val="left"/>
        </w:tabs>
        <w:numPr>
          <w:ilvl w:val="0"/>
          <w:numId w:val="4"/>
        </w:numPr>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Statements of Operations for the three and nine months ended September 30, 2021 and 2020 (unaudited);</w:t>
        </w:r>
      </w:hyperlink>
    </w:p>
    <w:p>
      <w:pPr>
        <w:spacing w:after="0" w:line="32" w:lineRule="exact"/>
        <w:rPr>
          <w:rFonts w:ascii="Arial" w:cs="Arial" w:eastAsia="Arial" w:hAnsi="Arial"/>
          <w:sz w:val="16"/>
          <w:szCs w:val="16"/>
          <w:u w:val="single" w:color="auto"/>
          <w:color w:val="0000EE"/>
        </w:rPr>
      </w:pPr>
    </w:p>
    <w:p>
      <w:pPr>
        <w:ind w:left="1140" w:right="60" w:hanging="774"/>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4</w:t>
      </w:r>
      <w:hyperlink w:anchor="page6">
        <w:r>
          <w:rPr>
            <w:rFonts w:ascii="Arial" w:cs="Arial" w:eastAsia="Arial" w:hAnsi="Arial"/>
            <w:sz w:val="18"/>
            <w:szCs w:val="18"/>
            <w:u w:val="single" w:color="auto"/>
            <w:color w:val="0000EE"/>
          </w:rPr>
          <w:t>Condensed Consolidated Statements of Changes in Stockholders’ Equity for the three and nine months ended September 30, 2021</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(unaudited)</w:t>
        </w:r>
      </w:hyperlink>
    </w:p>
    <w:p>
      <w:pPr>
        <w:ind w:left="1140" w:right="60" w:hanging="774"/>
        <w:spacing w:after="0" w:line="250" w:lineRule="auto"/>
        <w:rPr>
          <w:rFonts w:ascii="Arial" w:cs="Arial" w:eastAsia="Arial" w:hAnsi="Arial"/>
          <w:sz w:val="18"/>
          <w:szCs w:val="18"/>
          <w:u w:val="single" w:color="auto"/>
          <w:color w:val="0000EE"/>
        </w:rPr>
      </w:pPr>
      <w:r>
        <w:rPr>
          <w:rFonts w:ascii="Arial" w:cs="Arial" w:eastAsia="Arial" w:hAnsi="Arial"/>
          <w:sz w:val="18"/>
          <w:szCs w:val="18"/>
          <w:color w:val="auto"/>
        </w:rPr>
        <w:t>5</w:t>
      </w:r>
      <w:hyperlink w:anchor="page7">
        <w:r>
          <w:rPr>
            <w:rFonts w:ascii="Arial" w:cs="Arial" w:eastAsia="Arial" w:hAnsi="Arial"/>
            <w:sz w:val="18"/>
            <w:szCs w:val="18"/>
            <w:u w:val="single" w:color="auto"/>
            <w:color w:val="0000EE"/>
          </w:rPr>
          <w:t>Condensed Consolidated Statements of Changes in Stockholders’ Equity for the three and nine months ended September 30, 2020</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(unaudited)</w:t>
        </w:r>
      </w:hyperlink>
    </w:p>
    <w:p>
      <w:pPr>
        <w:ind w:left="540"/>
        <w:spacing w:after="0"/>
        <w:rPr>
          <w:rFonts w:ascii="Arial" w:cs="Arial" w:eastAsia="Arial" w:hAnsi="Arial"/>
          <w:sz w:val="16"/>
          <w:szCs w:val="16"/>
          <w:u w:val="single" w:color="auto"/>
          <w:color w:val="0000EE"/>
        </w:rPr>
      </w:pPr>
      <w:r>
        <w:rPr>
          <w:rFonts w:ascii="Arial" w:cs="Arial" w:eastAsia="Arial" w:hAnsi="Arial"/>
          <w:sz w:val="18"/>
          <w:szCs w:val="18"/>
          <w:color w:val="auto"/>
        </w:rPr>
        <w:t>6</w:t>
      </w:r>
      <w:hyperlink w:anchor="page8">
        <w:r>
          <w:rPr>
            <w:rFonts w:ascii="Arial" w:cs="Arial" w:eastAsia="Arial" w:hAnsi="Arial"/>
            <w:sz w:val="16"/>
            <w:szCs w:val="16"/>
            <w:u w:val="single" w:color="auto"/>
            <w:color w:val="0000EE"/>
          </w:rPr>
          <w:t>Condensed Consolidated Statements of Cash Flows for the nine months ended September 30, 2021 and 2020 (unaudited);</w:t>
        </w:r>
      </w:hyperlink>
    </w:p>
    <w:p>
      <w:pPr>
        <w:spacing w:after="0" w:line="9" w:lineRule="exact"/>
        <w:rPr>
          <w:rFonts w:ascii="Arial" w:cs="Arial" w:eastAsia="Arial" w:hAnsi="Arial"/>
          <w:sz w:val="16"/>
          <w:szCs w:val="16"/>
          <w:u w:val="single" w:color="auto"/>
          <w:color w:val="0000EE"/>
        </w:rPr>
      </w:pPr>
    </w:p>
    <w:p>
      <w:pPr>
        <w:ind w:left="540"/>
        <w:spacing w:after="0"/>
        <w:rPr>
          <w:rFonts w:ascii="Arial" w:cs="Arial" w:eastAsia="Arial" w:hAnsi="Arial"/>
          <w:sz w:val="16"/>
          <w:szCs w:val="16"/>
          <w:u w:val="single" w:color="auto"/>
          <w:color w:val="0000EE"/>
        </w:rPr>
      </w:pPr>
      <w:r>
        <w:rPr>
          <w:rFonts w:ascii="Arial" w:cs="Arial" w:eastAsia="Arial" w:hAnsi="Arial"/>
          <w:sz w:val="18"/>
          <w:szCs w:val="18"/>
          <w:color w:val="auto"/>
        </w:rPr>
        <w:t>7</w:t>
      </w:r>
      <w:hyperlink w:anchor="page9">
        <w:r>
          <w:rPr>
            <w:rFonts w:ascii="Arial" w:cs="Arial" w:eastAsia="Arial" w:hAnsi="Arial"/>
            <w:sz w:val="16"/>
            <w:szCs w:val="16"/>
            <w:u w:val="single" w:color="auto"/>
            <w:color w:val="0000EE"/>
          </w:rPr>
          <w:t>Notes to Condensed Consolidated Financial Statements (unaudited).</w:t>
        </w:r>
      </w:hyperlink>
    </w:p>
    <w:p>
      <w:pPr>
        <w:spacing w:after="0" w:line="200" w:lineRule="exact"/>
        <w:rPr>
          <w:rFonts w:ascii="Arial" w:cs="Arial" w:eastAsia="Arial" w:hAnsi="Arial"/>
          <w:sz w:val="18"/>
          <w:szCs w:val="18"/>
          <w:u w:val="single" w:color="auto"/>
          <w:color w:val="0000EE"/>
        </w:rPr>
      </w:pPr>
    </w:p>
    <w:p>
      <w:pPr>
        <w:spacing w:after="0" w:line="227" w:lineRule="exact"/>
        <w:rPr>
          <w:rFonts w:ascii="Arial" w:cs="Arial" w:eastAsia="Arial" w:hAnsi="Arial"/>
          <w:sz w:val="18"/>
          <w:szCs w:val="18"/>
          <w:u w:val="single" w:color="auto"/>
          <w:color w:val="0000EE"/>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877" w:right="101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Accounts receivable, net</w:t>
      </w:r>
    </w:p>
    <w:p>
      <w:pPr>
        <w:spacing w:after="0" w:line="21" w:lineRule="exact"/>
        <w:rPr>
          <w:sz w:val="20"/>
          <w:szCs w:val="20"/>
          <w:color w:val="auto"/>
        </w:rPr>
      </w:pPr>
    </w:p>
    <w:p>
      <w:pPr>
        <w:jc w:val="both"/>
        <w:ind w:right="100" w:firstLine="180"/>
        <w:spacing w:after="0" w:line="298" w:lineRule="auto"/>
        <w:rPr>
          <w:sz w:val="20"/>
          <w:szCs w:val="20"/>
          <w:color w:val="auto"/>
        </w:rPr>
      </w:pPr>
      <w:r>
        <w:rPr>
          <w:rFonts w:ascii="Arial" w:cs="Arial" w:eastAsia="Arial" w:hAnsi="Arial"/>
          <w:sz w:val="17"/>
          <w:szCs w:val="17"/>
          <w:color w:val="auto"/>
        </w:rPr>
        <w:t>Prepaid expenses Total Current Assets Property and equipment, net</w:t>
      </w: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180" w:right="340"/>
        <w:spacing w:after="0" w:line="265" w:lineRule="auto"/>
        <w:rPr>
          <w:sz w:val="20"/>
          <w:szCs w:val="20"/>
          <w:color w:val="auto"/>
        </w:rPr>
      </w:pPr>
      <w:r>
        <w:rPr>
          <w:rFonts w:ascii="Arial" w:cs="Arial" w:eastAsia="Arial" w:hAnsi="Arial"/>
          <w:sz w:val="17"/>
          <w:szCs w:val="17"/>
          <w:color w:val="auto"/>
        </w:rPr>
        <w:t>Technology assets, net Patent rights, net</w:t>
      </w:r>
    </w:p>
    <w:p>
      <w:pPr>
        <w:ind w:left="180"/>
        <w:spacing w:after="0"/>
        <w:rPr>
          <w:sz w:val="20"/>
          <w:szCs w:val="20"/>
          <w:color w:val="auto"/>
        </w:rPr>
      </w:pPr>
      <w:r>
        <w:rPr>
          <w:rFonts w:ascii="Arial" w:cs="Arial" w:eastAsia="Arial" w:hAnsi="Arial"/>
          <w:sz w:val="16"/>
          <w:szCs w:val="16"/>
          <w:color w:val="auto"/>
        </w:rPr>
        <w:t>Other intangible assets,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Right of use assets,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assets and deposits</w:t>
      </w:r>
    </w:p>
    <w:p>
      <w:pPr>
        <w:spacing w:after="0" w:line="45" w:lineRule="exact"/>
        <w:rPr>
          <w:sz w:val="20"/>
          <w:szCs w:val="20"/>
          <w:color w:val="auto"/>
        </w:rPr>
      </w:pPr>
    </w:p>
    <w:p>
      <w:pPr>
        <w:ind w:right="800"/>
        <w:spacing w:after="0" w:line="377" w:lineRule="auto"/>
        <w:rPr>
          <w:sz w:val="20"/>
          <w:szCs w:val="20"/>
          <w:color w:val="auto"/>
        </w:rPr>
      </w:pPr>
      <w:r>
        <w:rPr>
          <w:rFonts w:ascii="Arial" w:cs="Arial" w:eastAsia="Arial" w:hAnsi="Arial"/>
          <w:sz w:val="16"/>
          <w:szCs w:val="16"/>
          <w:color w:val="auto"/>
        </w:rPr>
        <w:t>Total Other Assets TOTAL ASSETS</w:t>
      </w:r>
    </w:p>
    <w:p>
      <w:pPr>
        <w:spacing w:after="0" w:line="20" w:lineRule="exact"/>
        <w:rPr>
          <w:sz w:val="20"/>
          <w:szCs w:val="20"/>
          <w:color w:val="auto"/>
        </w:rPr>
      </w:pPr>
      <w:r>
        <w:rPr>
          <w:sz w:val="20"/>
          <w:szCs w:val="20"/>
          <w:color w:val="auto"/>
        </w:rPr>
        <w:br w:type="column"/>
      </w:r>
    </w:p>
    <w:p>
      <w:pPr>
        <w:jc w:val="center"/>
        <w:ind w:right="228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22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7" w:lineRule="exact"/>
        <w:rPr>
          <w:sz w:val="20"/>
          <w:szCs w:val="20"/>
          <w:color w:val="auto"/>
        </w:rPr>
      </w:pPr>
    </w:p>
    <w:tbl>
      <w:tblPr>
        <w:tblLayout w:type="fixed"/>
        <w:tblInd w:w="6360" w:type="dxa"/>
        <w:tblCellMar>
          <w:top w:w="0" w:type="dxa"/>
          <w:left w:w="0" w:type="dxa"/>
          <w:bottom w:w="0" w:type="dxa"/>
          <w:right w:w="0" w:type="dxa"/>
        </w:tblCellMar>
      </w:tblPr>
      <w:tr>
        <w:trPr>
          <w:trHeight w:val="216"/>
        </w:trPr>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bl>
    <w:p>
      <w:pPr>
        <w:spacing w:after="0" w:line="19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ASSETS</w:t>
      </w:r>
    </w:p>
    <w:p>
      <w:pPr>
        <w:spacing w:after="0" w:line="229" w:lineRule="exact"/>
        <w:rPr>
          <w:sz w:val="20"/>
          <w:szCs w:val="20"/>
          <w:color w:val="auto"/>
        </w:rPr>
      </w:pPr>
    </w:p>
    <w:p>
      <w:pPr>
        <w:jc w:val="both"/>
        <w:ind w:left="6360"/>
        <w:spacing w:after="0"/>
        <w:tabs>
          <w:tab w:leader="none" w:pos="6660" w:val="left"/>
          <w:tab w:leader="none" w:pos="7680" w:val="left"/>
          <w:tab w:leader="none" w:pos="7980" w:val="left"/>
        </w:tabs>
        <w:rPr>
          <w:sz w:val="20"/>
          <w:szCs w:val="20"/>
          <w:color w:val="auto"/>
        </w:rPr>
      </w:pPr>
      <w:r>
        <w:rPr>
          <w:rFonts w:ascii="Arial" w:cs="Arial" w:eastAsia="Arial" w:hAnsi="Arial"/>
          <w:sz w:val="18"/>
          <w:szCs w:val="18"/>
          <w:color w:val="auto"/>
        </w:rPr>
        <w:t>$</w:t>
        <w:tab/>
        <w:t>85,056,578</w:t>
        <w:tab/>
        <w:t>$</w:t>
      </w:r>
      <w:r>
        <w:rPr>
          <w:sz w:val="20"/>
          <w:szCs w:val="20"/>
          <w:color w:val="auto"/>
        </w:rPr>
        <w:tab/>
      </w:r>
      <w:r>
        <w:rPr>
          <w:rFonts w:ascii="Arial" w:cs="Arial" w:eastAsia="Arial" w:hAnsi="Arial"/>
          <w:sz w:val="16"/>
          <w:szCs w:val="16"/>
          <w:color w:val="auto"/>
        </w:rPr>
        <w:t>10,516,776</w:t>
      </w:r>
    </w:p>
    <w:p>
      <w:pPr>
        <w:spacing w:after="0" w:line="23" w:lineRule="exact"/>
        <w:rPr>
          <w:sz w:val="20"/>
          <w:szCs w:val="20"/>
          <w:color w:val="auto"/>
        </w:rPr>
      </w:pPr>
    </w:p>
    <w:p>
      <w:pPr>
        <w:jc w:val="both"/>
        <w:ind w:left="6680"/>
        <w:spacing w:after="0"/>
        <w:tabs>
          <w:tab w:leader="none" w:pos="7980" w:val="left"/>
        </w:tabs>
        <w:rPr>
          <w:sz w:val="20"/>
          <w:szCs w:val="20"/>
          <w:color w:val="auto"/>
        </w:rPr>
      </w:pPr>
      <w:r>
        <w:rPr>
          <w:rFonts w:ascii="Arial" w:cs="Arial" w:eastAsia="Arial" w:hAnsi="Arial"/>
          <w:sz w:val="18"/>
          <w:szCs w:val="18"/>
          <w:color w:val="auto"/>
        </w:rPr>
        <w:t>20,747,529</w:t>
      </w:r>
      <w:r>
        <w:rPr>
          <w:sz w:val="20"/>
          <w:szCs w:val="20"/>
          <w:color w:val="auto"/>
        </w:rPr>
        <w:tab/>
      </w:r>
      <w:r>
        <w:rPr>
          <w:rFonts w:ascii="Arial" w:cs="Arial" w:eastAsia="Arial" w:hAnsi="Arial"/>
          <w:sz w:val="18"/>
          <w:szCs w:val="18"/>
          <w:color w:val="auto"/>
        </w:rPr>
        <w:t>17,885,705</w:t>
      </w:r>
    </w:p>
    <w:p>
      <w:pPr>
        <w:spacing w:after="0" w:line="9" w:lineRule="exact"/>
        <w:rPr>
          <w:sz w:val="20"/>
          <w:szCs w:val="20"/>
          <w:color w:val="auto"/>
        </w:rPr>
      </w:pPr>
    </w:p>
    <w:p>
      <w:pPr>
        <w:ind w:left="6780"/>
        <w:spacing w:after="0"/>
        <w:tabs>
          <w:tab w:leader="none" w:pos="8080" w:val="left"/>
        </w:tabs>
        <w:rPr>
          <w:sz w:val="20"/>
          <w:szCs w:val="20"/>
          <w:color w:val="auto"/>
        </w:rPr>
      </w:pPr>
      <w:r>
        <w:rPr>
          <w:rFonts w:ascii="Arial" w:cs="Arial" w:eastAsia="Arial" w:hAnsi="Arial"/>
          <w:sz w:val="16"/>
          <w:szCs w:val="16"/>
          <w:color w:val="auto"/>
        </w:rPr>
        <w:t>2,564,711</w:t>
      </w:r>
      <w:r>
        <w:rPr>
          <w:sz w:val="20"/>
          <w:szCs w:val="20"/>
          <w:color w:val="auto"/>
        </w:rPr>
        <w:tab/>
      </w:r>
      <w:r>
        <w:rPr>
          <w:rFonts w:ascii="Arial" w:cs="Arial" w:eastAsia="Arial" w:hAnsi="Arial"/>
          <w:sz w:val="16"/>
          <w:szCs w:val="16"/>
          <w:color w:val="auto"/>
        </w:rPr>
        <w:t>4,456,611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29210</wp:posOffset>
            </wp:positionV>
            <wp:extent cx="15601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8" w:lineRule="exact"/>
        <w:rPr>
          <w:sz w:val="20"/>
          <w:szCs w:val="20"/>
          <w:color w:val="auto"/>
        </w:rPr>
      </w:pPr>
    </w:p>
    <w:p>
      <w:pPr>
        <w:jc w:val="both"/>
        <w:ind w:left="6580"/>
        <w:spacing w:after="0"/>
        <w:tabs>
          <w:tab w:leader="none" w:pos="7980" w:val="left"/>
        </w:tabs>
        <w:rPr>
          <w:sz w:val="20"/>
          <w:szCs w:val="20"/>
          <w:color w:val="auto"/>
        </w:rPr>
      </w:pPr>
      <w:r>
        <w:rPr>
          <w:rFonts w:ascii="Arial" w:cs="Arial" w:eastAsia="Arial" w:hAnsi="Arial"/>
          <w:sz w:val="18"/>
          <w:szCs w:val="18"/>
          <w:color w:val="auto"/>
        </w:rPr>
        <w:t>108,368,818</w:t>
      </w:r>
      <w:r>
        <w:rPr>
          <w:sz w:val="20"/>
          <w:szCs w:val="20"/>
          <w:color w:val="auto"/>
        </w:rPr>
        <w:tab/>
      </w:r>
      <w:r>
        <w:rPr>
          <w:rFonts w:ascii="Arial" w:cs="Arial" w:eastAsia="Arial" w:hAnsi="Arial"/>
          <w:sz w:val="18"/>
          <w:szCs w:val="18"/>
          <w:color w:val="auto"/>
        </w:rPr>
        <w:t>32,859,092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15601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6900"/>
        <w:spacing w:after="0"/>
        <w:tabs>
          <w:tab w:leader="none" w:pos="8200" w:val="left"/>
        </w:tabs>
        <w:rPr>
          <w:sz w:val="20"/>
          <w:szCs w:val="20"/>
          <w:color w:val="auto"/>
        </w:rPr>
      </w:pPr>
      <w:r>
        <w:rPr>
          <w:rFonts w:ascii="Arial" w:cs="Arial" w:eastAsia="Arial" w:hAnsi="Arial"/>
          <w:sz w:val="16"/>
          <w:szCs w:val="16"/>
          <w:color w:val="auto"/>
        </w:rPr>
        <w:t>130,863</w:t>
      </w:r>
      <w:r>
        <w:rPr>
          <w:sz w:val="20"/>
          <w:szCs w:val="20"/>
          <w:color w:val="auto"/>
        </w:rPr>
        <w:tab/>
      </w:r>
      <w:r>
        <w:rPr>
          <w:rFonts w:ascii="Arial" w:cs="Arial" w:eastAsia="Arial" w:hAnsi="Arial"/>
          <w:sz w:val="16"/>
          <w:szCs w:val="16"/>
          <w:color w:val="auto"/>
        </w:rPr>
        <w:t>148,854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29210</wp:posOffset>
            </wp:positionV>
            <wp:extent cx="15601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55" w:lineRule="exact"/>
        <w:rPr>
          <w:sz w:val="20"/>
          <w:szCs w:val="20"/>
          <w:color w:val="auto"/>
        </w:rPr>
      </w:pPr>
    </w:p>
    <w:p>
      <w:pPr>
        <w:jc w:val="both"/>
        <w:ind w:left="6680"/>
        <w:spacing w:after="0"/>
        <w:tabs>
          <w:tab w:leader="none" w:pos="7980" w:val="left"/>
        </w:tabs>
        <w:rPr>
          <w:sz w:val="20"/>
          <w:szCs w:val="20"/>
          <w:color w:val="auto"/>
        </w:rPr>
      </w:pPr>
      <w:r>
        <w:rPr>
          <w:rFonts w:ascii="Arial" w:cs="Arial" w:eastAsia="Arial" w:hAnsi="Arial"/>
          <w:sz w:val="18"/>
          <w:szCs w:val="18"/>
          <w:color w:val="auto"/>
        </w:rPr>
        <w:t>14,740,031</w:t>
      </w:r>
      <w:r>
        <w:rPr>
          <w:sz w:val="20"/>
          <w:szCs w:val="20"/>
          <w:color w:val="auto"/>
        </w:rPr>
        <w:tab/>
      </w:r>
      <w:r>
        <w:rPr>
          <w:rFonts w:ascii="Arial" w:cs="Arial" w:eastAsia="Arial" w:hAnsi="Arial"/>
          <w:sz w:val="18"/>
          <w:szCs w:val="18"/>
          <w:color w:val="auto"/>
        </w:rPr>
        <w:t>14,740,031</w:t>
      </w:r>
    </w:p>
    <w:p>
      <w:pPr>
        <w:spacing w:after="0" w:line="23" w:lineRule="exact"/>
        <w:rPr>
          <w:sz w:val="20"/>
          <w:szCs w:val="20"/>
          <w:color w:val="auto"/>
        </w:rPr>
      </w:pPr>
    </w:p>
    <w:p>
      <w:pPr>
        <w:ind w:left="6760"/>
        <w:spacing w:after="0"/>
        <w:tabs>
          <w:tab w:leader="none" w:pos="8080" w:val="left"/>
        </w:tabs>
        <w:rPr>
          <w:sz w:val="20"/>
          <w:szCs w:val="20"/>
          <w:color w:val="auto"/>
        </w:rPr>
      </w:pPr>
      <w:r>
        <w:rPr>
          <w:rFonts w:ascii="Arial" w:cs="Arial" w:eastAsia="Arial" w:hAnsi="Arial"/>
          <w:sz w:val="16"/>
          <w:szCs w:val="16"/>
          <w:color w:val="auto"/>
        </w:rPr>
        <w:t>4,784,771</w:t>
      </w:r>
      <w:r>
        <w:rPr>
          <w:sz w:val="20"/>
          <w:szCs w:val="20"/>
          <w:color w:val="auto"/>
        </w:rPr>
        <w:tab/>
      </w:r>
      <w:r>
        <w:rPr>
          <w:rFonts w:ascii="Arial" w:cs="Arial" w:eastAsia="Arial" w:hAnsi="Arial"/>
          <w:sz w:val="16"/>
          <w:szCs w:val="16"/>
          <w:color w:val="auto"/>
        </w:rPr>
        <w:t>5,251,822</w:t>
      </w:r>
    </w:p>
    <w:p>
      <w:pPr>
        <w:spacing w:after="0" w:line="32" w:lineRule="exact"/>
        <w:rPr>
          <w:sz w:val="20"/>
          <w:szCs w:val="20"/>
          <w:color w:val="auto"/>
        </w:rPr>
      </w:pPr>
    </w:p>
    <w:p>
      <w:pPr>
        <w:ind w:left="6760"/>
        <w:spacing w:after="0"/>
        <w:tabs>
          <w:tab w:leader="none" w:pos="8080" w:val="left"/>
        </w:tabs>
        <w:rPr>
          <w:sz w:val="20"/>
          <w:szCs w:val="20"/>
          <w:color w:val="auto"/>
        </w:rPr>
      </w:pPr>
      <w:r>
        <w:rPr>
          <w:rFonts w:ascii="Arial" w:cs="Arial" w:eastAsia="Arial" w:hAnsi="Arial"/>
          <w:sz w:val="16"/>
          <w:szCs w:val="16"/>
          <w:color w:val="auto"/>
        </w:rPr>
        <w:t>2,205,550</w:t>
      </w:r>
      <w:r>
        <w:rPr>
          <w:sz w:val="20"/>
          <w:szCs w:val="20"/>
          <w:color w:val="auto"/>
        </w:rPr>
        <w:tab/>
      </w:r>
      <w:r>
        <w:rPr>
          <w:rFonts w:ascii="Arial" w:cs="Arial" w:eastAsia="Arial" w:hAnsi="Arial"/>
          <w:sz w:val="16"/>
          <w:szCs w:val="16"/>
          <w:color w:val="auto"/>
        </w:rPr>
        <w:t>2,349,570</w:t>
      </w:r>
    </w:p>
    <w:p>
      <w:pPr>
        <w:spacing w:after="0" w:line="32" w:lineRule="exact"/>
        <w:rPr>
          <w:sz w:val="20"/>
          <w:szCs w:val="20"/>
          <w:color w:val="auto"/>
        </w:rPr>
      </w:pPr>
    </w:p>
    <w:p>
      <w:pPr>
        <w:ind w:left="6760"/>
        <w:spacing w:after="0"/>
        <w:tabs>
          <w:tab w:leader="none" w:pos="8080" w:val="left"/>
        </w:tabs>
        <w:rPr>
          <w:sz w:val="20"/>
          <w:szCs w:val="20"/>
          <w:color w:val="auto"/>
        </w:rPr>
      </w:pPr>
      <w:r>
        <w:rPr>
          <w:rFonts w:ascii="Arial" w:cs="Arial" w:eastAsia="Arial" w:hAnsi="Arial"/>
          <w:sz w:val="16"/>
          <w:szCs w:val="16"/>
          <w:color w:val="auto"/>
        </w:rPr>
        <w:t>4,045,890</w:t>
      </w:r>
      <w:r>
        <w:rPr>
          <w:sz w:val="20"/>
          <w:szCs w:val="20"/>
          <w:color w:val="auto"/>
        </w:rPr>
        <w:tab/>
      </w:r>
      <w:r>
        <w:rPr>
          <w:rFonts w:ascii="Arial" w:cs="Arial" w:eastAsia="Arial" w:hAnsi="Arial"/>
          <w:sz w:val="16"/>
          <w:szCs w:val="16"/>
          <w:color w:val="auto"/>
        </w:rPr>
        <w:t>4,519,552</w:t>
      </w:r>
    </w:p>
    <w:p>
      <w:pPr>
        <w:spacing w:after="0" w:line="32" w:lineRule="exact"/>
        <w:rPr>
          <w:sz w:val="20"/>
          <w:szCs w:val="20"/>
          <w:color w:val="auto"/>
        </w:rPr>
      </w:pPr>
    </w:p>
    <w:p>
      <w:pPr>
        <w:ind w:left="6900"/>
        <w:spacing w:after="0"/>
        <w:tabs>
          <w:tab w:leader="none" w:pos="8200" w:val="left"/>
        </w:tabs>
        <w:rPr>
          <w:sz w:val="20"/>
          <w:szCs w:val="20"/>
          <w:color w:val="auto"/>
        </w:rPr>
      </w:pPr>
      <w:r>
        <w:rPr>
          <w:rFonts w:ascii="Arial" w:cs="Arial" w:eastAsia="Arial" w:hAnsi="Arial"/>
          <w:sz w:val="16"/>
          <w:szCs w:val="16"/>
          <w:color w:val="auto"/>
        </w:rPr>
        <w:t>362,024</w:t>
      </w:r>
      <w:r>
        <w:rPr>
          <w:sz w:val="20"/>
          <w:szCs w:val="20"/>
          <w:color w:val="auto"/>
        </w:rPr>
        <w:tab/>
      </w:r>
      <w:r>
        <w:rPr>
          <w:rFonts w:ascii="Arial" w:cs="Arial" w:eastAsia="Arial" w:hAnsi="Arial"/>
          <w:sz w:val="16"/>
          <w:szCs w:val="16"/>
          <w:color w:val="auto"/>
        </w:rPr>
        <w:t>445,974</w:t>
      </w:r>
    </w:p>
    <w:p>
      <w:pPr>
        <w:spacing w:after="0" w:line="32" w:lineRule="exact"/>
        <w:rPr>
          <w:sz w:val="20"/>
          <w:szCs w:val="20"/>
          <w:color w:val="auto"/>
        </w:rPr>
      </w:pPr>
    </w:p>
    <w:p>
      <w:pPr>
        <w:jc w:val="both"/>
        <w:ind w:left="7000"/>
        <w:spacing w:after="0"/>
        <w:tabs>
          <w:tab w:leader="none" w:pos="8300" w:val="left"/>
        </w:tabs>
        <w:rPr>
          <w:sz w:val="20"/>
          <w:szCs w:val="20"/>
          <w:color w:val="auto"/>
        </w:rPr>
      </w:pPr>
      <w:r>
        <w:rPr>
          <w:rFonts w:ascii="Arial" w:cs="Arial" w:eastAsia="Arial" w:hAnsi="Arial"/>
          <w:sz w:val="18"/>
          <w:szCs w:val="18"/>
          <w:color w:val="auto"/>
        </w:rPr>
        <w:t>12,859</w:t>
      </w:r>
      <w:r>
        <w:rPr>
          <w:sz w:val="20"/>
          <w:szCs w:val="20"/>
          <w:color w:val="auto"/>
        </w:rPr>
        <w:tab/>
      </w:r>
      <w:r>
        <w:rPr>
          <w:rFonts w:ascii="Arial" w:cs="Arial" w:eastAsia="Arial" w:hAnsi="Arial"/>
          <w:sz w:val="18"/>
          <w:szCs w:val="18"/>
          <w:color w:val="auto"/>
        </w:rPr>
        <w:t>12,859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15601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5" w:lineRule="exact"/>
        <w:rPr>
          <w:sz w:val="20"/>
          <w:szCs w:val="20"/>
          <w:color w:val="auto"/>
        </w:rPr>
      </w:pPr>
    </w:p>
    <w:p>
      <w:pPr>
        <w:jc w:val="both"/>
        <w:ind w:left="6680"/>
        <w:spacing w:after="0"/>
        <w:tabs>
          <w:tab w:leader="none" w:pos="7980" w:val="left"/>
        </w:tabs>
        <w:rPr>
          <w:sz w:val="20"/>
          <w:szCs w:val="20"/>
          <w:color w:val="auto"/>
        </w:rPr>
      </w:pPr>
      <w:r>
        <w:rPr>
          <w:rFonts w:ascii="Arial" w:cs="Arial" w:eastAsia="Arial" w:hAnsi="Arial"/>
          <w:sz w:val="18"/>
          <w:szCs w:val="18"/>
          <w:color w:val="auto"/>
        </w:rPr>
        <w:t>26,151,125</w:t>
      </w:r>
      <w:r>
        <w:rPr>
          <w:sz w:val="20"/>
          <w:szCs w:val="20"/>
          <w:color w:val="auto"/>
        </w:rPr>
        <w:tab/>
      </w:r>
      <w:r>
        <w:rPr>
          <w:rFonts w:ascii="Arial" w:cs="Arial" w:eastAsia="Arial" w:hAnsi="Arial"/>
          <w:sz w:val="18"/>
          <w:szCs w:val="18"/>
          <w:color w:val="auto"/>
        </w:rPr>
        <w:t>27,319,808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15601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3" w:lineRule="exact"/>
        <w:rPr>
          <w:sz w:val="20"/>
          <w:szCs w:val="20"/>
          <w:color w:val="auto"/>
        </w:rPr>
      </w:pPr>
    </w:p>
    <w:p>
      <w:pPr>
        <w:jc w:val="right"/>
        <w:ind w:right="60"/>
        <w:spacing w:after="0"/>
        <w:tabs>
          <w:tab w:leader="none" w:pos="2220" w:val="left"/>
          <w:tab w:leader="none" w:pos="1100" w:val="left"/>
          <w:tab w:leader="none" w:pos="800" w:val="left"/>
        </w:tabs>
        <w:rPr>
          <w:sz w:val="20"/>
          <w:szCs w:val="20"/>
          <w:color w:val="auto"/>
        </w:rPr>
      </w:pPr>
      <w:r>
        <w:rPr>
          <w:rFonts w:ascii="Arial" w:cs="Arial" w:eastAsia="Arial" w:hAnsi="Arial"/>
          <w:sz w:val="18"/>
          <w:szCs w:val="18"/>
          <w:u w:val="single" w:color="auto"/>
          <w:color w:val="auto"/>
        </w:rPr>
        <w:t>$</w:t>
        <w:tab/>
        <w:t>134,650,806</w:t>
        <w:tab/>
        <w:t>$</w:t>
      </w:r>
      <w:r>
        <w:rPr>
          <w:sz w:val="20"/>
          <w:szCs w:val="20"/>
          <w:color w:val="auto"/>
        </w:rPr>
        <w:tab/>
      </w:r>
      <w:r>
        <w:rPr>
          <w:rFonts w:ascii="Arial" w:cs="Arial" w:eastAsia="Arial" w:hAnsi="Arial"/>
          <w:sz w:val="16"/>
          <w:szCs w:val="16"/>
          <w:u w:val="single" w:color="auto"/>
          <w:color w:val="auto"/>
        </w:rPr>
        <w:t>60,327,754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40640</wp:posOffset>
            </wp:positionV>
            <wp:extent cx="15601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2" w:lineRule="exact"/>
        <w:rPr>
          <w:sz w:val="20"/>
          <w:szCs w:val="20"/>
          <w:color w:val="auto"/>
        </w:rPr>
      </w:pPr>
    </w:p>
    <w:p>
      <w:pPr>
        <w:sectPr>
          <w:pgSz w:w="11900" w:h="16838" w:orient="portrait"/>
          <w:cols w:equalWidth="0" w:num="2">
            <w:col w:w="2140" w:space="180"/>
            <w:col w:w="8880"/>
          </w:cols>
          <w:pgMar w:left="320" w:top="877" w:right="379" w:bottom="1440" w:gutter="0" w:footer="0" w:header="0"/>
        </w:sectPr>
      </w:pPr>
    </w:p>
    <w:tbl>
      <w:tblPr>
        <w:tblLayout w:type="fixed"/>
        <w:tblInd w:w="0" w:type="dxa"/>
        <w:tblCellMar>
          <w:top w:w="0" w:type="dxa"/>
          <w:left w:w="0" w:type="dxa"/>
          <w:bottom w:w="0" w:type="dxa"/>
          <w:right w:w="0" w:type="dxa"/>
        </w:tblCellMar>
      </w:tblPr>
      <w:tr>
        <w:trPr>
          <w:trHeight w:val="207"/>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771,645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618,250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2,460,248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2,420,361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3,891,091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4,969,868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101,063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123,220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1,610,813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348,405</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285,795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7,572,452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10,028,307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Lease obligations, net of current portion</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260,614</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325,533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260,614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325,533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7,833,066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10,353,840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 (See Note 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1"/>
              </w:rPr>
              <w:t>Preferred stock, $0.001 par value, 10,000,000 shares authorized, no issued and outstanding at September 30, 2021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or December 31, 2020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3"/>
              </w:rPr>
              <w:t>Common stock, $0.001 par value, 166,666,667 shares authorized, 17,727,769 and 15,223,340 shares issued and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outstanding at September 30, 2021 and December 31, 2020, respectively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17,728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15,223</w:t>
            </w:r>
          </w:p>
        </w:tc>
        <w:tc>
          <w:tcPr>
            <w:tcW w:w="40" w:type="dxa"/>
            <w:vAlign w:val="bottom"/>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162,677,132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85,590,428</w:t>
            </w:r>
          </w:p>
        </w:tc>
        <w:tc>
          <w:tcPr>
            <w:tcW w:w="40" w:type="dxa"/>
            <w:vAlign w:val="bottom"/>
          </w:tcPr>
          <w:p>
            <w:pPr>
              <w:spacing w:after="0"/>
              <w:rPr>
                <w:sz w:val="18"/>
                <w:szCs w:val="18"/>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(35,877,120)</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7"/>
              </w:rPr>
              <w:t>(35,631,737)</w:t>
            </w: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126,817,740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49,973,914</w:t>
            </w:r>
          </w:p>
        </w:tc>
        <w:tc>
          <w:tcPr>
            <w:tcW w:w="40" w:type="dxa"/>
            <w:vAlign w:val="bottom"/>
          </w:tcPr>
          <w:p>
            <w:pPr>
              <w:spacing w:after="0"/>
              <w:rPr>
                <w:sz w:val="19"/>
                <w:szCs w:val="19"/>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134,650,806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60,327,754</w:t>
            </w:r>
          </w:p>
        </w:tc>
        <w:tc>
          <w:tcPr>
            <w:tcW w:w="4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2"/>
              </w:rPr>
              <w:t>For the Three Months Ended</w:t>
            </w:r>
          </w:p>
        </w:tc>
        <w:tc>
          <w:tcPr>
            <w:tcW w:w="120" w:type="dxa"/>
            <w:vAlign w:val="bottom"/>
          </w:tcPr>
          <w:p>
            <w:pPr>
              <w:spacing w:after="0"/>
              <w:rPr>
                <w:sz w:val="19"/>
                <w:szCs w:val="19"/>
                <w:color w:val="auto"/>
              </w:rPr>
            </w:pPr>
          </w:p>
        </w:tc>
        <w:tc>
          <w:tcPr>
            <w:tcW w:w="2380" w:type="dxa"/>
            <w:vAlign w:val="bottom"/>
            <w:gridSpan w:val="7"/>
          </w:tcPr>
          <w:p>
            <w:pPr>
              <w:jc w:val="right"/>
              <w:ind w:right="194"/>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380" w:type="dxa"/>
            <w:vAlign w:val="bottom"/>
            <w:gridSpan w:val="7"/>
          </w:tcPr>
          <w:p>
            <w:pPr>
              <w:jc w:val="right"/>
              <w:ind w:right="734"/>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16,124,951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10,519,191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40,979,801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w w:val="99"/>
              </w:rPr>
              <w:t>26,887,022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7,047,832</w:t>
            </w:r>
          </w:p>
        </w:tc>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4,504,844</w:t>
            </w:r>
          </w:p>
        </w:tc>
        <w:tc>
          <w:tcPr>
            <w:tcW w:w="120" w:type="dxa"/>
            <w:vAlign w:val="bottom"/>
          </w:tcPr>
          <w:p>
            <w:pPr>
              <w:spacing w:after="0"/>
              <w:rPr>
                <w:sz w:val="21"/>
                <w:szCs w:val="21"/>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17,733,400</w:t>
            </w:r>
          </w:p>
        </w:tc>
        <w:tc>
          <w:tcPr>
            <w:tcW w:w="200" w:type="dxa"/>
            <w:vAlign w:val="bottom"/>
          </w:tcPr>
          <w:p>
            <w:pPr>
              <w:spacing w:after="0"/>
              <w:rPr>
                <w:sz w:val="21"/>
                <w:szCs w:val="21"/>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w w:val="99"/>
              </w:rPr>
              <w:t>11,385,622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9,077,119</w:t>
            </w: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6,014,347</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23,246,401</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1"/>
              <w:spacing w:after="0"/>
              <w:rPr>
                <w:sz w:val="20"/>
                <w:szCs w:val="20"/>
                <w:color w:val="auto"/>
              </w:rPr>
            </w:pPr>
            <w:r>
              <w:rPr>
                <w:rFonts w:ascii="Arial" w:cs="Arial" w:eastAsia="Arial" w:hAnsi="Arial"/>
                <w:sz w:val="18"/>
                <w:szCs w:val="18"/>
                <w:color w:val="auto"/>
                <w:w w:val="99"/>
              </w:rPr>
              <w:t>15,501,400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9,038,929</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6,191,069</w:t>
            </w:r>
          </w:p>
        </w:tc>
        <w:tc>
          <w:tcPr>
            <w:tcW w:w="120" w:type="dxa"/>
            <w:vAlign w:val="bottom"/>
          </w:tcPr>
          <w:p>
            <w:pPr>
              <w:spacing w:after="0"/>
              <w:rPr>
                <w:sz w:val="24"/>
                <w:szCs w:val="24"/>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23,506,381</w:t>
            </w:r>
          </w:p>
        </w:tc>
        <w:tc>
          <w:tcPr>
            <w:tcW w:w="200" w:type="dxa"/>
            <w:vAlign w:val="bottom"/>
          </w:tcPr>
          <w:p>
            <w:pPr>
              <w:spacing w:after="0"/>
              <w:rPr>
                <w:sz w:val="24"/>
                <w:szCs w:val="24"/>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w w:val="99"/>
              </w:rPr>
              <w:t>18,993,187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line="203" w:lineRule="exact"/>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38,190</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(176,722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(259,980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(3,491,787</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1,704</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14,597</w:t>
            </w:r>
          </w:p>
        </w:tc>
        <w:tc>
          <w:tcPr>
            <w:tcW w:w="200" w:type="dxa"/>
            <w:vAlign w:val="bottom"/>
          </w:tcPr>
          <w:p>
            <w:pPr>
              <w:spacing w:after="0"/>
              <w:rPr>
                <w:sz w:val="18"/>
                <w:szCs w:val="18"/>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rPr>
              <w:t>67,884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(110,390)</w:t>
            </w:r>
          </w:p>
        </w:tc>
        <w:tc>
          <w:tcPr>
            <w:tcW w:w="120" w:type="dxa"/>
            <w:vAlign w:val="bottom"/>
          </w:tcPr>
          <w:p>
            <w:pPr>
              <w:spacing w:after="0"/>
              <w:rPr>
                <w:sz w:val="21"/>
                <w:szCs w:val="21"/>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(140,390)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5980" w:type="dxa"/>
            <w:vAlign w:val="bottom"/>
          </w:tcPr>
          <w:p>
            <w:pPr>
              <w:ind w:left="180"/>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1,704</w:t>
            </w:r>
          </w:p>
        </w:tc>
        <w:tc>
          <w:tcPr>
            <w:tcW w:w="2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(106,172)</w:t>
            </w:r>
          </w:p>
        </w:tc>
        <w:tc>
          <w:tcPr>
            <w:tcW w:w="120" w:type="dxa"/>
            <w:vAlign w:val="bottom"/>
          </w:tcPr>
          <w:p>
            <w:pPr>
              <w:spacing w:after="0"/>
              <w:rPr>
                <w:sz w:val="24"/>
                <w:szCs w:val="24"/>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14,597</w:t>
            </w:r>
          </w:p>
        </w:tc>
        <w:tc>
          <w:tcPr>
            <w:tcW w:w="2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(72,506)</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gridSpan w:val="3"/>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INCOME(LOSS) BEFORE PROVISION FOR INCOME TAXES</w:t>
            </w:r>
          </w:p>
        </w:tc>
        <w:tc>
          <w:tcPr>
            <w:tcW w:w="10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39,894</w:t>
            </w:r>
          </w:p>
        </w:tc>
        <w:tc>
          <w:tcPr>
            <w:tcW w:w="2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(282,894)</w:t>
            </w:r>
          </w:p>
        </w:tc>
        <w:tc>
          <w:tcPr>
            <w:tcW w:w="120" w:type="dxa"/>
            <w:vAlign w:val="bottom"/>
          </w:tcPr>
          <w:p>
            <w:pPr>
              <w:spacing w:after="0"/>
              <w:rPr>
                <w:sz w:val="24"/>
                <w:szCs w:val="24"/>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(245,383)</w:t>
            </w:r>
          </w:p>
        </w:tc>
        <w:tc>
          <w:tcPr>
            <w:tcW w:w="2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(3,564,293)</w:t>
            </w:r>
          </w:p>
        </w:tc>
        <w:tc>
          <w:tcPr>
            <w:tcW w:w="0" w:type="dxa"/>
            <w:vAlign w:val="bottom"/>
          </w:tcPr>
          <w:p>
            <w:pPr>
              <w:spacing w:after="0"/>
              <w:rPr>
                <w:sz w:val="1"/>
                <w:szCs w:val="1"/>
                <w:color w:val="auto"/>
              </w:rPr>
            </w:pPr>
          </w:p>
        </w:tc>
      </w:tr>
      <w:tr>
        <w:trPr>
          <w:trHeight w:val="445"/>
        </w:trPr>
        <w:tc>
          <w:tcPr>
            <w:tcW w:w="5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gridSpan w:val="2"/>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39,894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(282,894</w:t>
            </w:r>
          </w:p>
        </w:tc>
        <w:tc>
          <w:tcPr>
            <w:tcW w:w="22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(245,383</w:t>
            </w:r>
          </w:p>
        </w:tc>
        <w:tc>
          <w:tcPr>
            <w:tcW w:w="2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(3,564,293</w:t>
            </w:r>
          </w:p>
        </w:tc>
        <w:tc>
          <w:tcPr>
            <w:tcW w:w="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 AVERGE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17,639,346</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14,900,971</w:t>
            </w:r>
          </w:p>
        </w:tc>
        <w:tc>
          <w:tcPr>
            <w:tcW w:w="120" w:type="dxa"/>
            <w:vAlign w:val="bottom"/>
          </w:tcPr>
          <w:p>
            <w:pPr>
              <w:spacing w:after="0"/>
              <w:rPr>
                <w:sz w:val="24"/>
                <w:szCs w:val="24"/>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17,028,762</w:t>
            </w:r>
          </w:p>
        </w:tc>
        <w:tc>
          <w:tcPr>
            <w:tcW w:w="200" w:type="dxa"/>
            <w:vAlign w:val="bottom"/>
          </w:tcPr>
          <w:p>
            <w:pPr>
              <w:spacing w:after="0"/>
              <w:rPr>
                <w:sz w:val="24"/>
                <w:szCs w:val="24"/>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w w:val="99"/>
              </w:rPr>
              <w:t>14,726,534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18,198,412</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14,900,971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17,028,762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14,726,534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(0.02</w:t>
            </w:r>
            <w:r>
              <w:rPr>
                <w:rFonts w:ascii="Arial" w:cs="Arial" w:eastAsia="Arial" w:hAnsi="Arial"/>
                <w:sz w:val="31"/>
                <w:szCs w:val="31"/>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(0.01</w:t>
            </w:r>
            <w:r>
              <w:rPr>
                <w:rFonts w:ascii="Arial" w:cs="Arial" w:eastAsia="Arial" w:hAnsi="Arial"/>
                <w:sz w:val="31"/>
                <w:szCs w:val="31"/>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4"/>
          </w:tcPr>
          <w:p>
            <w:pPr>
              <w:jc w:val="right"/>
              <w:spacing w:after="0" w:line="271" w:lineRule="exact"/>
              <w:rPr>
                <w:sz w:val="20"/>
                <w:szCs w:val="20"/>
                <w:color w:val="auto"/>
              </w:rPr>
            </w:pPr>
            <w:r>
              <w:rPr>
                <w:rFonts w:ascii="Arial" w:cs="Arial" w:eastAsia="Arial" w:hAnsi="Arial"/>
                <w:sz w:val="17"/>
                <w:szCs w:val="17"/>
                <w:color w:val="auto"/>
              </w:rPr>
              <w:t>(0.24</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in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60" w:type="dxa"/>
            <w:vAlign w:val="bottom"/>
            <w:gridSpan w:val="2"/>
          </w:tcPr>
          <w:p>
            <w:pPr>
              <w:spacing w:after="0"/>
              <w:rPr>
                <w:sz w:val="20"/>
                <w:szCs w:val="20"/>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January 1, 2021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15,223,340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15,223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85,590,428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(35,631,737)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49,973,914</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Public offering of common shares, net of offering 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1,523,750</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70,670,012</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70,671,536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510,803</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1,119,500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1,120,011</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2,695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124,991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124,994</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582,159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582,159</w:t>
            </w:r>
          </w:p>
        </w:tc>
        <w:tc>
          <w:tcPr>
            <w:tcW w:w="4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(637,377)</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(637,377)</w:t>
            </w: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March 31, 2021</w:t>
            </w:r>
          </w:p>
        </w:tc>
        <w:tc>
          <w:tcPr>
            <w:tcW w:w="1140" w:type="dxa"/>
            <w:vAlign w:val="bottom"/>
          </w:tcPr>
          <w:p>
            <w:pPr>
              <w:jc w:val="right"/>
              <w:spacing w:after="0"/>
              <w:rPr>
                <w:sz w:val="20"/>
                <w:szCs w:val="20"/>
                <w:color w:val="auto"/>
              </w:rPr>
            </w:pPr>
            <w:r>
              <w:rPr>
                <w:rFonts w:ascii="Arial" w:cs="Arial" w:eastAsia="Arial" w:hAnsi="Arial"/>
                <w:sz w:val="18"/>
                <w:szCs w:val="18"/>
                <w:color w:val="auto"/>
              </w:rPr>
              <w:t>17,260,588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17,261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158,087,090</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(36,269,114)</w:t>
            </w: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121,835,237</w:t>
            </w:r>
          </w:p>
        </w:tc>
        <w:tc>
          <w:tcPr>
            <w:tcW w:w="4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232,806</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1,590,535</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1,590,767</w:t>
            </w:r>
          </w:p>
        </w:tc>
        <w:tc>
          <w:tcPr>
            <w:tcW w:w="40" w:type="dxa"/>
            <w:vAlign w:val="bottom"/>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2,035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125,089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125,091</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771,947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771,947</w:t>
            </w:r>
          </w:p>
        </w:tc>
        <w:tc>
          <w:tcPr>
            <w:tcW w:w="4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352,100</w:t>
            </w:r>
          </w:p>
        </w:tc>
        <w:tc>
          <w:tcPr>
            <w:tcW w:w="1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352,100</w:t>
            </w:r>
          </w:p>
        </w:tc>
        <w:tc>
          <w:tcPr>
            <w:tcW w:w="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June 30, 2021</w:t>
            </w:r>
          </w:p>
        </w:tc>
        <w:tc>
          <w:tcPr>
            <w:tcW w:w="1140" w:type="dxa"/>
            <w:vAlign w:val="bottom"/>
          </w:tcPr>
          <w:p>
            <w:pPr>
              <w:jc w:val="right"/>
              <w:spacing w:after="0"/>
              <w:rPr>
                <w:sz w:val="20"/>
                <w:szCs w:val="20"/>
                <w:color w:val="auto"/>
              </w:rPr>
            </w:pPr>
            <w:r>
              <w:rPr>
                <w:rFonts w:ascii="Arial" w:cs="Arial" w:eastAsia="Arial" w:hAnsi="Arial"/>
                <w:sz w:val="18"/>
                <w:szCs w:val="18"/>
                <w:color w:val="auto"/>
              </w:rPr>
              <w:t>17,495,429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17,495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160,574,661</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(35,917,014)</w:t>
            </w: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124,675,142</w:t>
            </w:r>
          </w:p>
        </w:tc>
        <w:tc>
          <w:tcPr>
            <w:tcW w:w="4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232,340</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1,094,464</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1,094,697</w:t>
            </w:r>
          </w:p>
        </w:tc>
        <w:tc>
          <w:tcPr>
            <w:tcW w:w="40" w:type="dxa"/>
            <w:vAlign w:val="bottom"/>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1,008,007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1,008,007</w:t>
            </w:r>
          </w:p>
        </w:tc>
        <w:tc>
          <w:tcPr>
            <w:tcW w:w="4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39,894</w:t>
            </w:r>
          </w:p>
        </w:tc>
        <w:tc>
          <w:tcPr>
            <w:tcW w:w="16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39,894</w:t>
            </w: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79"/>
        </w:trPr>
        <w:tc>
          <w:tcPr>
            <w:tcW w:w="4620" w:type="dxa"/>
            <w:vAlign w:val="bottom"/>
          </w:tcPr>
          <w:p>
            <w:pPr>
              <w:spacing w:after="0"/>
              <w:rPr>
                <w:sz w:val="20"/>
                <w:szCs w:val="20"/>
                <w:color w:val="auto"/>
              </w:rPr>
            </w:pPr>
            <w:r>
              <w:rPr>
                <w:rFonts w:ascii="Arial" w:cs="Arial" w:eastAsia="Arial" w:hAnsi="Arial"/>
                <w:sz w:val="18"/>
                <w:szCs w:val="18"/>
                <w:color w:val="auto"/>
              </w:rPr>
              <w:t>Balance September 30, 2021</w:t>
            </w:r>
          </w:p>
        </w:tc>
        <w:tc>
          <w:tcPr>
            <w:tcW w:w="1140" w:type="dxa"/>
            <w:vAlign w:val="bottom"/>
          </w:tcPr>
          <w:p>
            <w:pPr>
              <w:jc w:val="right"/>
              <w:spacing w:after="0"/>
              <w:rPr>
                <w:sz w:val="20"/>
                <w:szCs w:val="20"/>
                <w:color w:val="auto"/>
              </w:rPr>
            </w:pPr>
            <w:r>
              <w:rPr>
                <w:rFonts w:ascii="Arial" w:cs="Arial" w:eastAsia="Arial" w:hAnsi="Arial"/>
                <w:sz w:val="18"/>
                <w:szCs w:val="18"/>
                <w:color w:val="auto"/>
              </w:rPr>
              <w:t>17,727,769</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17,728</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162,677,132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(35,877,120</w:t>
            </w:r>
            <w:r>
              <w:rPr>
                <w:rFonts w:ascii="Arial" w:cs="Arial" w:eastAsia="Arial" w:hAnsi="Arial"/>
                <w:sz w:val="35"/>
                <w:szCs w:val="35"/>
                <w:color w:val="auto"/>
                <w:w w:val="94"/>
                <w:vertAlign w:val="superscript"/>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126,817,740</w:t>
            </w:r>
          </w:p>
        </w:tc>
        <w:tc>
          <w:tcPr>
            <w:tcW w:w="40" w:type="dxa"/>
            <w:vAlign w:val="bottom"/>
          </w:tcPr>
          <w:p>
            <w:pPr>
              <w:spacing w:after="0"/>
              <w:rPr>
                <w:sz w:val="24"/>
                <w:szCs w:val="24"/>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5"/>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in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Balance January 1, 2020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14,600,579</w:t>
            </w:r>
          </w:p>
        </w:tc>
        <w:tc>
          <w:tcPr>
            <w:tcW w:w="2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14,601</w:t>
            </w:r>
          </w:p>
        </w:tc>
        <w:tc>
          <w:tcPr>
            <w:tcW w:w="2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78,272,268</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(33,424,610)</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44,862,259</w:t>
            </w:r>
          </w:p>
        </w:tc>
        <w:tc>
          <w:tcPr>
            <w:tcW w:w="40" w:type="dxa"/>
            <w:vAlign w:val="bottom"/>
          </w:tcPr>
          <w:p>
            <w:pPr>
              <w:spacing w:after="0"/>
              <w:rPr>
                <w:sz w:val="20"/>
                <w:szCs w:val="20"/>
                <w:color w:val="auto"/>
              </w:rPr>
            </w:pPr>
          </w:p>
        </w:tc>
      </w:tr>
      <w:tr>
        <w:trPr>
          <w:trHeight w:val="403"/>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35,032</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112,117</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112,152</w:t>
            </w:r>
          </w:p>
        </w:tc>
        <w:tc>
          <w:tcPr>
            <w:tcW w:w="40" w:type="dxa"/>
            <w:vAlign w:val="bottom"/>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11,136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99,989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754,512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754,512</w:t>
            </w:r>
          </w:p>
        </w:tc>
        <w:tc>
          <w:tcPr>
            <w:tcW w:w="4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(2,203,931)</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(2,203,931)</w:t>
            </w: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March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14,646,747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14,647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79,238,886</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(35,628,541)</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43,624,992</w:t>
            </w:r>
          </w:p>
        </w:tc>
        <w:tc>
          <w:tcPr>
            <w:tcW w:w="4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55,731</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174,775</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174,831</w:t>
            </w:r>
          </w:p>
        </w:tc>
        <w:tc>
          <w:tcPr>
            <w:tcW w:w="40" w:type="dxa"/>
            <w:vAlign w:val="bottom"/>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7,748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100,019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100,027</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42,374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680,602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680,644</w:t>
            </w:r>
          </w:p>
        </w:tc>
        <w:tc>
          <w:tcPr>
            <w:tcW w:w="4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(1,077,468)</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(1,077,468)</w:t>
            </w: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June 30,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14,752,600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14,753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80,194,282</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(36,706,009)</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43,503,026</w:t>
            </w:r>
          </w:p>
        </w:tc>
        <w:tc>
          <w:tcPr>
            <w:tcW w:w="40" w:type="dxa"/>
            <w:vAlign w:val="bottom"/>
          </w:tcPr>
          <w:p>
            <w:pPr>
              <w:spacing w:after="0"/>
              <w:rPr>
                <w:sz w:val="24"/>
                <w:szCs w:val="24"/>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198,024</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1,044,899</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1,045,097</w:t>
            </w:r>
          </w:p>
        </w:tc>
        <w:tc>
          <w:tcPr>
            <w:tcW w:w="40" w:type="dxa"/>
            <w:vAlign w:val="bottom"/>
          </w:tcPr>
          <w:p>
            <w:pPr>
              <w:spacing w:after="0"/>
              <w:rPr>
                <w:sz w:val="24"/>
                <w:szCs w:val="24"/>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5,915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124,978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124,984</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21,186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631,432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631,453</w:t>
            </w:r>
          </w:p>
        </w:tc>
        <w:tc>
          <w:tcPr>
            <w:tcW w:w="4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4"/>
              </w:rPr>
              <w:t>Shares issued for contingent purchase price and escrow hold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94,501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1,657,454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1,657,548</w:t>
            </w:r>
          </w:p>
        </w:tc>
        <w:tc>
          <w:tcPr>
            <w:tcW w:w="40" w:type="dxa"/>
            <w:vAlign w:val="bottom"/>
          </w:tcPr>
          <w:p>
            <w:pPr>
              <w:spacing w:after="0"/>
              <w:rPr>
                <w:sz w:val="18"/>
                <w:szCs w:val="18"/>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(282,894)</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(282,894)</w:t>
            </w: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80"/>
        </w:trPr>
        <w:tc>
          <w:tcPr>
            <w:tcW w:w="4620" w:type="dxa"/>
            <w:vAlign w:val="bottom"/>
          </w:tcPr>
          <w:p>
            <w:pPr>
              <w:spacing w:after="0"/>
              <w:rPr>
                <w:sz w:val="20"/>
                <w:szCs w:val="20"/>
                <w:color w:val="auto"/>
              </w:rPr>
            </w:pPr>
            <w:r>
              <w:rPr>
                <w:rFonts w:ascii="Arial" w:cs="Arial" w:eastAsia="Arial" w:hAnsi="Arial"/>
                <w:sz w:val="18"/>
                <w:szCs w:val="18"/>
                <w:color w:val="auto"/>
              </w:rPr>
              <w:t>Balance September 30,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15,072,226</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15,072</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83,653,045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(36,988,903</w:t>
            </w:r>
            <w:r>
              <w:rPr>
                <w:rFonts w:ascii="Arial" w:cs="Arial" w:eastAsia="Arial" w:hAnsi="Arial"/>
                <w:sz w:val="35"/>
                <w:szCs w:val="35"/>
                <w:color w:val="auto"/>
                <w:w w:val="94"/>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46,679,214</w:t>
            </w:r>
          </w:p>
        </w:tc>
        <w:tc>
          <w:tcPr>
            <w:tcW w:w="40" w:type="dxa"/>
            <w:vAlign w:val="bottom"/>
          </w:tcPr>
          <w:p>
            <w:pPr>
              <w:spacing w:after="0"/>
              <w:rPr>
                <w:sz w:val="24"/>
                <w:szCs w:val="24"/>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7" w:name="page8"/>
    <w:bookmarkEnd w:id="7"/>
    <w:p>
      <w:pPr>
        <w:jc w:val="center"/>
        <w:ind w:left="29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292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ind w:left="29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amortization, and non-cash lease expense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issued for board services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Provision for loss on accounts receivable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 in fair value of contingent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 and other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 share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 and other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revenue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OPERATING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intangible assets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public offering of common stock, net of commission costs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the exercise of options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 of contingent consideration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FINANCING ACTIVITIES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INCREASE (DECREASE) IN CASH AND CASH EQUIVALENTS</w:t>
      </w:r>
    </w:p>
    <w:p>
      <w:pPr>
        <w:spacing w:after="0" w:line="23" w:lineRule="exact"/>
        <w:rPr>
          <w:sz w:val="20"/>
          <w:szCs w:val="20"/>
          <w:color w:val="auto"/>
        </w:rPr>
      </w:pPr>
    </w:p>
    <w:p>
      <w:pPr>
        <w:ind w:right="3480"/>
        <w:spacing w:after="0" w:line="323" w:lineRule="auto"/>
        <w:rPr>
          <w:sz w:val="20"/>
          <w:szCs w:val="20"/>
          <w:color w:val="auto"/>
        </w:rPr>
      </w:pPr>
      <w:r>
        <w:rPr>
          <w:rFonts w:ascii="Arial" w:cs="Arial" w:eastAsia="Arial" w:hAnsi="Arial"/>
          <w:sz w:val="17"/>
          <w:szCs w:val="17"/>
          <w:color w:val="auto"/>
        </w:rPr>
        <w:t>CASH AND CASH EQUIVALENTS - BEGINNING OF PERIOD CASH AND CASH EQUIVALENTS - END OF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interest</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income taxes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 liabilities paid in common stock</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Lease liabilities arising from right of use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5"/>
        <w:spacing w:after="0"/>
        <w:rPr>
          <w:sz w:val="20"/>
          <w:szCs w:val="20"/>
          <w:color w:val="auto"/>
        </w:rPr>
      </w:pPr>
      <w:r>
        <w:rPr>
          <w:rFonts w:ascii="Arial" w:cs="Arial" w:eastAsia="Arial" w:hAnsi="Arial"/>
          <w:sz w:val="18"/>
          <w:szCs w:val="18"/>
          <w:b w:val="1"/>
          <w:bCs w:val="1"/>
          <w:color w:val="auto"/>
        </w:rPr>
        <w:t>For the Nine Months Ended</w:t>
      </w:r>
    </w:p>
    <w:p>
      <w:pPr>
        <w:spacing w:after="0" w:line="27" w:lineRule="exact"/>
        <w:rPr>
          <w:sz w:val="20"/>
          <w:szCs w:val="20"/>
          <w:color w:val="auto"/>
        </w:rPr>
      </w:pPr>
    </w:p>
    <w:p>
      <w:pPr>
        <w:jc w:val="center"/>
        <w:ind w:right="55"/>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601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385"/>
        <w:spacing w:after="0"/>
        <w:tabs>
          <w:tab w:leader="none" w:pos="1705"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5601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p>
      <w:pPr>
        <w:ind w:left="485" w:hanging="485"/>
        <w:spacing w:after="0"/>
        <w:tabs>
          <w:tab w:leader="none" w:pos="485" w:val="left"/>
        </w:tabs>
        <w:numPr>
          <w:ilvl w:val="0"/>
          <w:numId w:val="5"/>
        </w:numPr>
        <w:rPr>
          <w:rFonts w:ascii="Arial" w:cs="Arial" w:eastAsia="Arial" w:hAnsi="Arial"/>
          <w:sz w:val="17"/>
          <w:szCs w:val="17"/>
          <w:color w:val="auto"/>
        </w:rPr>
      </w:pPr>
      <w:r>
        <w:rPr>
          <w:rFonts w:ascii="Arial" w:cs="Arial" w:eastAsia="Arial" w:hAnsi="Arial"/>
          <w:sz w:val="17"/>
          <w:szCs w:val="17"/>
          <w:color w:val="auto"/>
        </w:rPr>
        <w:t>(245,383)  $   (3,564,293)</w:t>
      </w:r>
    </w:p>
    <w:p>
      <w:pPr>
        <w:spacing w:after="0" w:line="237"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1,580,173</w:t>
            </w:r>
          </w:p>
        </w:tc>
        <w:tc>
          <w:tcPr>
            <w:tcW w:w="1140" w:type="dxa"/>
            <w:vAlign w:val="bottom"/>
          </w:tcPr>
          <w:p>
            <w:pPr>
              <w:jc w:val="right"/>
              <w:spacing w:after="0"/>
              <w:rPr>
                <w:sz w:val="20"/>
                <w:szCs w:val="20"/>
                <w:color w:val="auto"/>
              </w:rPr>
            </w:pPr>
            <w:r>
              <w:rPr>
                <w:rFonts w:ascii="Arial" w:cs="Arial" w:eastAsia="Arial" w:hAnsi="Arial"/>
                <w:sz w:val="18"/>
                <w:szCs w:val="18"/>
                <w:color w:val="auto"/>
              </w:rPr>
              <w:t>1,563,883</w:t>
            </w:r>
          </w:p>
        </w:tc>
        <w:tc>
          <w:tcPr>
            <w:tcW w:w="40" w:type="dxa"/>
            <w:vAlign w:val="bottom"/>
          </w:tcPr>
          <w:p>
            <w:pPr>
              <w:spacing w:after="0"/>
              <w:rPr>
                <w:sz w:val="18"/>
                <w:szCs w:val="18"/>
                <w:color w:val="auto"/>
              </w:rPr>
            </w:pPr>
          </w:p>
        </w:tc>
      </w:tr>
      <w:tr>
        <w:trPr>
          <w:trHeight w:val="216"/>
        </w:trPr>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2,362,113</w:t>
            </w:r>
          </w:p>
        </w:tc>
        <w:tc>
          <w:tcPr>
            <w:tcW w:w="1140" w:type="dxa"/>
            <w:vAlign w:val="bottom"/>
          </w:tcPr>
          <w:p>
            <w:pPr>
              <w:jc w:val="right"/>
              <w:spacing w:after="0"/>
              <w:rPr>
                <w:sz w:val="20"/>
                <w:szCs w:val="20"/>
                <w:color w:val="auto"/>
              </w:rPr>
            </w:pPr>
            <w:r>
              <w:rPr>
                <w:rFonts w:ascii="Arial" w:cs="Arial" w:eastAsia="Arial" w:hAnsi="Arial"/>
                <w:sz w:val="18"/>
                <w:szCs w:val="18"/>
                <w:color w:val="auto"/>
              </w:rPr>
              <w:t>2,066,609</w:t>
            </w:r>
          </w:p>
        </w:tc>
        <w:tc>
          <w:tcPr>
            <w:tcW w:w="40" w:type="dxa"/>
            <w:vAlign w:val="bottom"/>
          </w:tcPr>
          <w:p>
            <w:pPr>
              <w:spacing w:after="0"/>
              <w:rPr>
                <w:sz w:val="18"/>
                <w:szCs w:val="18"/>
                <w:color w:val="auto"/>
              </w:rPr>
            </w:pPr>
          </w:p>
        </w:tc>
      </w:tr>
      <w:tr>
        <w:trPr>
          <w:trHeight w:val="216"/>
        </w:trPr>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250,085</w:t>
            </w:r>
          </w:p>
        </w:tc>
        <w:tc>
          <w:tcPr>
            <w:tcW w:w="1140" w:type="dxa"/>
            <w:vAlign w:val="bottom"/>
          </w:tcPr>
          <w:p>
            <w:pPr>
              <w:jc w:val="right"/>
              <w:spacing w:after="0"/>
              <w:rPr>
                <w:sz w:val="20"/>
                <w:szCs w:val="20"/>
                <w:color w:val="auto"/>
              </w:rPr>
            </w:pPr>
            <w:r>
              <w:rPr>
                <w:rFonts w:ascii="Arial" w:cs="Arial" w:eastAsia="Arial" w:hAnsi="Arial"/>
                <w:sz w:val="18"/>
                <w:szCs w:val="18"/>
                <w:color w:val="auto"/>
              </w:rPr>
              <w:t>325,011</w:t>
            </w:r>
          </w:p>
        </w:tc>
        <w:tc>
          <w:tcPr>
            <w:tcW w:w="40" w:type="dxa"/>
            <w:vAlign w:val="bottom"/>
          </w:tcPr>
          <w:p>
            <w:pPr>
              <w:spacing w:after="0"/>
              <w:rPr>
                <w:sz w:val="18"/>
                <w:szCs w:val="18"/>
                <w:color w:val="auto"/>
              </w:rPr>
            </w:pPr>
          </w:p>
        </w:tc>
      </w:tr>
      <w:tr>
        <w:trPr>
          <w:trHeight w:val="216"/>
        </w:trPr>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60,000</w:t>
            </w:r>
          </w:p>
        </w:tc>
        <w:tc>
          <w:tcPr>
            <w:tcW w:w="1140" w:type="dxa"/>
            <w:vAlign w:val="bottom"/>
          </w:tcPr>
          <w:p>
            <w:pPr>
              <w:jc w:val="right"/>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18"/>
                <w:szCs w:val="18"/>
                <w:color w:val="auto"/>
              </w:rPr>
            </w:pPr>
          </w:p>
        </w:tc>
      </w:tr>
      <w:tr>
        <w:trPr>
          <w:trHeight w:val="230"/>
        </w:trPr>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140,390</w:t>
            </w:r>
          </w:p>
        </w:tc>
        <w:tc>
          <w:tcPr>
            <w:tcW w:w="40" w:type="dxa"/>
            <w:vAlign w:val="bottom"/>
          </w:tcPr>
          <w:p>
            <w:pPr>
              <w:spacing w:after="0"/>
              <w:rPr>
                <w:sz w:val="20"/>
                <w:szCs w:val="20"/>
                <w:color w:val="auto"/>
              </w:rPr>
            </w:pPr>
          </w:p>
        </w:tc>
      </w:tr>
      <w:tr>
        <w:trPr>
          <w:trHeight w:val="418"/>
        </w:trPr>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(2,921,824)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(5,994,527)</w:t>
            </w:r>
          </w:p>
        </w:tc>
      </w:tr>
      <w:tr>
        <w:trPr>
          <w:trHeight w:val="216"/>
        </w:trPr>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1,891,900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(931,833)</w:t>
            </w:r>
          </w:p>
        </w:tc>
      </w:tr>
      <w:tr>
        <w:trPr>
          <w:trHeight w:val="216"/>
        </w:trPr>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153,395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(12,493)</w:t>
            </w:r>
          </w:p>
        </w:tc>
      </w:tr>
      <w:tr>
        <w:trPr>
          <w:trHeight w:val="216"/>
        </w:trPr>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(1,078,777)</w:t>
            </w:r>
          </w:p>
        </w:tc>
        <w:tc>
          <w:tcPr>
            <w:tcW w:w="1140" w:type="dxa"/>
            <w:vAlign w:val="bottom"/>
          </w:tcPr>
          <w:p>
            <w:pPr>
              <w:jc w:val="right"/>
              <w:spacing w:after="0"/>
              <w:rPr>
                <w:sz w:val="20"/>
                <w:szCs w:val="20"/>
                <w:color w:val="auto"/>
              </w:rPr>
            </w:pPr>
            <w:r>
              <w:rPr>
                <w:rFonts w:ascii="Arial" w:cs="Arial" w:eastAsia="Arial" w:hAnsi="Arial"/>
                <w:sz w:val="18"/>
                <w:szCs w:val="18"/>
                <w:color w:val="auto"/>
              </w:rPr>
              <w:t>2,023,650</w:t>
            </w:r>
          </w:p>
        </w:tc>
        <w:tc>
          <w:tcPr>
            <w:tcW w:w="40" w:type="dxa"/>
            <w:vAlign w:val="bottom"/>
          </w:tcPr>
          <w:p>
            <w:pPr>
              <w:spacing w:after="0"/>
              <w:rPr>
                <w:sz w:val="18"/>
                <w:szCs w:val="18"/>
                <w:color w:val="auto"/>
              </w:rPr>
            </w:pPr>
          </w:p>
        </w:tc>
      </w:tr>
      <w:tr>
        <w:trPr>
          <w:trHeight w:val="216"/>
        </w:trPr>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(53,710)</w:t>
            </w:r>
          </w:p>
        </w:tc>
        <w:tc>
          <w:tcPr>
            <w:tcW w:w="1140" w:type="dxa"/>
            <w:vAlign w:val="bottom"/>
          </w:tcPr>
          <w:p>
            <w:pPr>
              <w:jc w:val="right"/>
              <w:spacing w:after="0"/>
              <w:rPr>
                <w:sz w:val="20"/>
                <w:szCs w:val="20"/>
                <w:color w:val="auto"/>
              </w:rPr>
            </w:pPr>
            <w:r>
              <w:rPr>
                <w:rFonts w:ascii="Arial" w:cs="Arial" w:eastAsia="Arial" w:hAnsi="Arial"/>
                <w:sz w:val="18"/>
                <w:szCs w:val="18"/>
                <w:color w:val="auto"/>
              </w:rPr>
              <w:t>704,559</w:t>
            </w:r>
          </w:p>
        </w:tc>
        <w:tc>
          <w:tcPr>
            <w:tcW w:w="40" w:type="dxa"/>
            <w:vAlign w:val="bottom"/>
          </w:tcPr>
          <w:p>
            <w:pPr>
              <w:spacing w:after="0"/>
              <w:rPr>
                <w:sz w:val="18"/>
                <w:szCs w:val="18"/>
                <w:color w:val="auto"/>
              </w:rPr>
            </w:pPr>
          </w:p>
        </w:tc>
      </w:tr>
      <w:tr>
        <w:trPr>
          <w:trHeight w:val="251"/>
        </w:trPr>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62,610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(118,737)</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2,060,582</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(3,717,781</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634"/>
        </w:trPr>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(62,565)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(45,254)</w:t>
            </w:r>
          </w:p>
        </w:tc>
      </w:tr>
      <w:tr>
        <w:trPr>
          <w:trHeight w:val="251"/>
        </w:trPr>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(324,413)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(386,978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(45,254</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634"/>
        </w:trPr>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70,671,536</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216"/>
        </w:trPr>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3,805,475</w:t>
            </w:r>
          </w:p>
        </w:tc>
        <w:tc>
          <w:tcPr>
            <w:tcW w:w="1140" w:type="dxa"/>
            <w:vAlign w:val="bottom"/>
          </w:tcPr>
          <w:p>
            <w:pPr>
              <w:jc w:val="right"/>
              <w:spacing w:after="0"/>
              <w:rPr>
                <w:sz w:val="20"/>
                <w:szCs w:val="20"/>
                <w:color w:val="auto"/>
              </w:rPr>
            </w:pPr>
            <w:r>
              <w:rPr>
                <w:rFonts w:ascii="Arial" w:cs="Arial" w:eastAsia="Arial" w:hAnsi="Arial"/>
                <w:sz w:val="18"/>
                <w:szCs w:val="18"/>
                <w:color w:val="auto"/>
              </w:rPr>
              <w:t>1,332,080</w:t>
            </w:r>
          </w:p>
        </w:tc>
        <w:tc>
          <w:tcPr>
            <w:tcW w:w="40" w:type="dxa"/>
            <w:vAlign w:val="bottom"/>
          </w:tcPr>
          <w:p>
            <w:pPr>
              <w:spacing w:after="0"/>
              <w:rPr>
                <w:sz w:val="18"/>
                <w:szCs w:val="18"/>
                <w:color w:val="auto"/>
              </w:rPr>
            </w:pPr>
          </w:p>
        </w:tc>
      </w:tr>
      <w:tr>
        <w:trPr>
          <w:trHeight w:val="251"/>
        </w:trPr>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(1,610,813)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(4,389,187)</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72,866,198</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(3,057,107</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15"/>
        </w:trPr>
        <w:tc>
          <w:tcPr>
            <w:tcW w:w="1120" w:type="dxa"/>
            <w:vAlign w:val="bottom"/>
          </w:tcPr>
          <w:p>
            <w:pPr>
              <w:jc w:val="right"/>
              <w:spacing w:after="0"/>
              <w:rPr>
                <w:sz w:val="20"/>
                <w:szCs w:val="20"/>
                <w:color w:val="auto"/>
              </w:rPr>
            </w:pPr>
            <w:r>
              <w:rPr>
                <w:rFonts w:ascii="Arial" w:cs="Arial" w:eastAsia="Arial" w:hAnsi="Arial"/>
                <w:sz w:val="18"/>
                <w:szCs w:val="18"/>
                <w:color w:val="auto"/>
              </w:rPr>
              <w:t>74,539,802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(6,820,142)</w:t>
            </w:r>
          </w:p>
        </w:tc>
        <w:tc>
          <w:tcPr>
            <w:tcW w:w="40" w:type="dxa"/>
            <w:vAlign w:val="bottom"/>
          </w:tcPr>
          <w:p>
            <w:pPr>
              <w:spacing w:after="0"/>
              <w:rPr>
                <w:sz w:val="18"/>
                <w:szCs w:val="18"/>
                <w:color w:val="auto"/>
              </w:rPr>
            </w:pPr>
          </w:p>
        </w:tc>
      </w:tr>
      <w:tr>
        <w:trPr>
          <w:trHeight w:val="230"/>
        </w:trPr>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10,516,776</w:t>
            </w:r>
          </w:p>
        </w:tc>
        <w:tc>
          <w:tcPr>
            <w:tcW w:w="1140" w:type="dxa"/>
            <w:vAlign w:val="bottom"/>
          </w:tcPr>
          <w:p>
            <w:pPr>
              <w:jc w:val="right"/>
              <w:spacing w:after="0"/>
              <w:rPr>
                <w:sz w:val="20"/>
                <w:szCs w:val="20"/>
                <w:color w:val="auto"/>
              </w:rPr>
            </w:pPr>
            <w:r>
              <w:rPr>
                <w:rFonts w:ascii="Arial" w:cs="Arial" w:eastAsia="Arial" w:hAnsi="Arial"/>
                <w:sz w:val="18"/>
                <w:szCs w:val="18"/>
                <w:color w:val="auto"/>
              </w:rPr>
              <w:t>18,852,680</w:t>
            </w:r>
          </w:p>
        </w:tc>
        <w:tc>
          <w:tcPr>
            <w:tcW w:w="40" w:type="dxa"/>
            <w:vAlign w:val="bottom"/>
          </w:tcPr>
          <w:p>
            <w:pPr>
              <w:spacing w:after="0"/>
              <w:rPr>
                <w:sz w:val="20"/>
                <w:szCs w:val="20"/>
                <w:color w:val="auto"/>
              </w:rPr>
            </w:pP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w w:val="95"/>
              </w:rPr>
              <w:t>$   85,056,578</w:t>
            </w:r>
          </w:p>
        </w:tc>
        <w:tc>
          <w:tcPr>
            <w:tcW w:w="1140" w:type="dxa"/>
            <w:vAlign w:val="bottom"/>
          </w:tcPr>
          <w:p>
            <w:pPr>
              <w:jc w:val="right"/>
              <w:spacing w:after="0"/>
              <w:rPr>
                <w:sz w:val="20"/>
                <w:szCs w:val="20"/>
                <w:color w:val="auto"/>
              </w:rPr>
            </w:pPr>
            <w:r>
              <w:rPr>
                <w:rFonts w:ascii="Arial" w:cs="Arial" w:eastAsia="Arial" w:hAnsi="Arial"/>
                <w:sz w:val="18"/>
                <w:szCs w:val="18"/>
                <w:color w:val="auto"/>
                <w:w w:val="95"/>
              </w:rPr>
              <w:t>$   12,032,538</w:t>
            </w:r>
          </w:p>
        </w:tc>
        <w:tc>
          <w:tcPr>
            <w:tcW w:w="40" w:type="dxa"/>
            <w:vAlign w:val="bottom"/>
          </w:tcPr>
          <w:p>
            <w:pPr>
              <w:spacing w:after="0"/>
              <w:rPr>
                <w:sz w:val="21"/>
                <w:szCs w:val="2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tbl>
      <w:tblPr>
        <w:tblLayout w:type="fixed"/>
        <w:tblInd w:w="5" w:type="dxa"/>
        <w:tblCellMar>
          <w:top w:w="0" w:type="dxa"/>
          <w:left w:w="0" w:type="dxa"/>
          <w:bottom w:w="0" w:type="dxa"/>
          <w:right w:w="0" w:type="dxa"/>
        </w:tblCellMar>
      </w:tblPr>
      <w:tr>
        <w:trPr>
          <w:trHeight w:val="237"/>
        </w:trPr>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gridSpan w:val="2"/>
          </w:tcPr>
          <w:p>
            <w:pPr>
              <w:spacing w:after="0" w:line="20" w:lineRule="exact"/>
              <w:rPr>
                <w:sz w:val="1"/>
                <w:szCs w:val="1"/>
                <w:color w:val="auto"/>
              </w:rPr>
            </w:pPr>
          </w:p>
        </w:tc>
      </w:tr>
      <w:tr>
        <w:trPr>
          <w:trHeight w:val="223"/>
        </w:trPr>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065" w:hanging="1065"/>
        <w:spacing w:after="0"/>
        <w:tabs>
          <w:tab w:leader="none" w:pos="106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    1,550,000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6019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42" w:lineRule="exact"/>
        <w:rPr>
          <w:sz w:val="20"/>
          <w:szCs w:val="20"/>
          <w:color w:val="auto"/>
        </w:rPr>
      </w:pPr>
    </w:p>
    <w:p>
      <w:pPr>
        <w:ind w:left="5"/>
        <w:spacing w:after="0"/>
        <w:tabs>
          <w:tab w:leader="none" w:pos="1045" w:val="left"/>
          <w:tab w:leader="none" w:pos="1325" w:val="left"/>
          <w:tab w:leader="none" w:pos="2385"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019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20" w:space="355"/>
            <w:col w:w="2525"/>
          </w:cols>
          <w:pgMar w:left="320" w:top="877" w:right="379" w:bottom="1440"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accompanying condensed consolidated financial statements include OptimizeRx Corporation and its wholly owned subsidiaries (collectively, the “Company”, “we”, “our”, or “us”).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condensed consolidated financial statements for the three and nine months ended September 30, 2021 and 2020 are unaudited and have been prepared pursuant to the rules and regulations of the U.S. Securities and Exchange Commission (“SEC”). In the opinion of management, all adjustments necessary to present fairly our consolidated financial position as of September 30, 2021, and our results of operations, changes in stockholders’ equity for the three and nine months ended September 30, 2021 and 2020 and the statements of cash flows for the nine months ended September 30, 2021 and 2020 have been made. Those adjustments consist of normal and recurring adjustments. The condensed consolidated balance sheet as of December 31, 2020 has been derived from the audited consolidated balance sheet as of that date.</w:t>
      </w:r>
    </w:p>
    <w:p>
      <w:pPr>
        <w:spacing w:after="0" w:line="17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Certain information and note disclosures, including a detailed discussion about the Company’s significant accounting policies, normally included in our annual financial statements prepared in accordance with generally accepted accounting principles have been condensed or omitted. These consolidated condensed financial statements should be read in conjunction with a reading of the financial statements and notes thereto included in our Annual Report on Form 10-K for the fiscal year ended December 31, 2020, as filed with the U.S. Securities and Exchange Commission on March 8, 2021.</w:t>
      </w:r>
    </w:p>
    <w:p>
      <w:pPr>
        <w:spacing w:after="0" w:line="1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results of operations for the three and nine months ended September 30, 2021, are not necessarily indicative of the results to be expected for the full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12, 2020, with early adoption permitted. The Company adopted this standard effective January 1, 2021. The adoption of this standard did not have a material effect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3 – REVENUES</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 xml:space="preserve">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we record revenue when earned, rather than when billed. From time to time, we may record revenue based on our revenue recognition policies in advance of being able to invoice the customer, or we may invoice the customer prior to being able to recognize the revenue. Included in accounts receivable are unbilled amounts of $757,218 and $77,516 at September 30, 2021, and December 31, 2020, respectively. Amounts billed in advance of revenue recognition are presented as deferred revenue on the condensed consolidated balance sheets.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REVENUES (continued)</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majority of our revenue is earned from life sciences companies, such as pharmaceutical and biotech companies, or medical device makers. A small portion of our revenue is earned from other sources, such as associations and technology companies. A break down is set forth in the table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2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Revenue from:</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Life Science Companies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15,949,517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10,177,247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40,059,551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25,751,278</w:t>
            </w:r>
          </w:p>
        </w:tc>
        <w:tc>
          <w:tcPr>
            <w:tcW w:w="0" w:type="dxa"/>
            <w:vAlign w:val="bottom"/>
          </w:tcPr>
          <w:p>
            <w:pPr>
              <w:spacing w:after="0"/>
              <w:rPr>
                <w:sz w:val="1"/>
                <w:szCs w:val="1"/>
                <w:color w:val="auto"/>
              </w:rPr>
            </w:pPr>
          </w:p>
        </w:tc>
      </w:tr>
      <w:tr>
        <w:trPr>
          <w:trHeight w:val="244"/>
        </w:trPr>
        <w:tc>
          <w:tcPr>
            <w:tcW w:w="59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175,434</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341,944</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920,250</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1,135,744</w:t>
            </w:r>
          </w:p>
        </w:tc>
        <w:tc>
          <w:tcPr>
            <w:tcW w:w="0" w:type="dxa"/>
            <w:vAlign w:val="bottom"/>
          </w:tcPr>
          <w:p>
            <w:pPr>
              <w:spacing w:after="0"/>
              <w:rPr>
                <w:sz w:val="1"/>
                <w:szCs w:val="1"/>
                <w:color w:val="auto"/>
              </w:rPr>
            </w:pPr>
          </w:p>
        </w:tc>
      </w:tr>
      <w:tr>
        <w:trPr>
          <w:trHeight w:val="27"/>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tcPr>
          <w:p>
            <w:pPr>
              <w:spacing w:after="0"/>
              <w:rPr>
                <w:sz w:val="21"/>
                <w:szCs w:val="21"/>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16,124,951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10,519,191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40,979,801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26,887,022</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4 – LEASES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operating leases for office space in three multitenant facilities with lease terms greater than 12 months, which are recorded as assets and liabilities on our condensed consolidated balance sheets. These leases include our corporate headquarters, located in Rochester, Michigan, a customer service facility in Cranbury, New Jersey, and a technical facility in Zagreb, Croatia. For leases that contain renewal options we have only assumed renewal for the headquarters lease. 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Amortization of the right of use assets is recognized as non-cash lease expense on a straight-line basis over the lease term, while variable lease payments are expensed as incurred. Short term lease costs include month to month leases in shared office space facilities.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three and nine months ended September 30, 2021, the Company’s lease cost consisted of the following components, each of which is included in operating expenses within the Company’s condensed consolidated statements of operations: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4 – LEASES (continued)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Nine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Operating lease cost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33,365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100,094</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Short-term lease cost (1)</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13,652</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46,466</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lease cost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47,017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146,560</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Short-term lease cost includes any lease with a term of less than 12 months.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the three and nine months ended September 30, 2020, the Company’s lease cost consisted of the following components, each of which is included in operating expenses within the Company’s condensed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Nine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18"/>
                <w:szCs w:val="18"/>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32,814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98,441</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Short-term lease cost (1)</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36,602</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116,817</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lease cost</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68,816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215,258</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Short-term lease cost includes any lease with a term of less than 12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future minimum lease payments to be made under operating leases as of September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September 30, 2021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8"/>
        </w:trPr>
        <w:tc>
          <w:tcPr>
            <w:tcW w:w="10020" w:type="dxa"/>
            <w:vAlign w:val="bottom"/>
            <w:gridSpan w:val="2"/>
          </w:tcPr>
          <w:p>
            <w:pPr>
              <w:spacing w:after="0"/>
              <w:rPr>
                <w:sz w:val="20"/>
                <w:szCs w:val="20"/>
                <w:color w:val="auto"/>
              </w:rPr>
            </w:pPr>
            <w:r>
              <w:rPr>
                <w:rFonts w:ascii="Arial" w:cs="Arial" w:eastAsia="Arial" w:hAnsi="Arial"/>
                <w:sz w:val="18"/>
                <w:szCs w:val="18"/>
                <w:color w:val="auto"/>
              </w:rPr>
              <w:t>2021(a)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35,436</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104,572</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101,414</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80,742</w:t>
            </w:r>
          </w:p>
        </w:tc>
      </w:tr>
      <w:tr>
        <w:trPr>
          <w:trHeight w:val="251"/>
        </w:trPr>
        <w:tc>
          <w:tcPr>
            <w:tcW w:w="99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70,224</w:t>
            </w:r>
          </w:p>
        </w:tc>
      </w:tr>
      <w:tr>
        <w:trPr>
          <w:trHeight w:val="202"/>
        </w:trPr>
        <w:tc>
          <w:tcPr>
            <w:tcW w:w="10020" w:type="dxa"/>
            <w:vAlign w:val="bottom"/>
            <w:gridSpan w:val="2"/>
          </w:tcPr>
          <w:p>
            <w:pPr>
              <w:spacing w:after="0" w:line="201" w:lineRule="exact"/>
              <w:rPr>
                <w:sz w:val="20"/>
                <w:szCs w:val="20"/>
                <w:color w:val="auto"/>
              </w:rPr>
            </w:pPr>
            <w:r>
              <w:rPr>
                <w:rFonts w:ascii="Arial" w:cs="Arial" w:eastAsia="Arial" w:hAnsi="Arial"/>
                <w:sz w:val="18"/>
                <w:szCs w:val="18"/>
                <w:color w:val="auto"/>
              </w:rPr>
              <w:t>Total</w:t>
            </w:r>
          </w:p>
        </w:tc>
        <w:tc>
          <w:tcPr>
            <w:tcW w:w="32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392,388</w:t>
            </w:r>
          </w:p>
        </w:tc>
      </w:tr>
      <w:tr>
        <w:trPr>
          <w:trHeight w:val="251"/>
        </w:trPr>
        <w:tc>
          <w:tcPr>
            <w:tcW w:w="1002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30,711</w:t>
            </w:r>
          </w:p>
        </w:tc>
      </w:tr>
      <w:tr>
        <w:trPr>
          <w:trHeight w:val="250"/>
        </w:trPr>
        <w:tc>
          <w:tcPr>
            <w:tcW w:w="10020" w:type="dxa"/>
            <w:vAlign w:val="bottom"/>
            <w:gridSpan w:val="2"/>
          </w:tcPr>
          <w:p>
            <w:pPr>
              <w:spacing w:after="0" w:line="203" w:lineRule="exact"/>
              <w:rPr>
                <w:sz w:val="20"/>
                <w:szCs w:val="20"/>
                <w:color w:val="auto"/>
              </w:rPr>
            </w:pPr>
            <w:r>
              <w:rPr>
                <w:rFonts w:ascii="Arial" w:cs="Arial" w:eastAsia="Arial" w:hAnsi="Arial"/>
                <w:sz w:val="18"/>
                <w:szCs w:val="18"/>
                <w:color w:val="auto"/>
              </w:rPr>
              <w:t>Total lease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361,677</w:t>
            </w: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For the three-month period beginning October 1, 2021.</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77" w:right="4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LEASES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 at September 30, 2021 for operating leases was 3.76 years and the weighted average discount rate used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calculating the operating lease asset and liability was 4.5%. Cash paid for amounts included in the measurement of lease liabilities was $31,528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$33,919 for the three months ended September 30, 2021 and 2020, respectively. Cash paid for amounts included in the measurement of lease liabilities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$93,596 and $105,267 for the nine months ended September 30, 2021 and 2020, respectively. For the three months ended September 30, 2021 and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on lease obligations were $35,740 and $28,482, respectively, and amortization on the right of use assets was $30,458 and $28,600,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2021 and 2020, payments on lease obligations were $107,136 and $87,599, respectively, and amortization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 of use assets was $90,471 and $84,957,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March 31, 2021, in an underwritten primary offering, we issued 1,523,750 shares of our common stock for gross proceeds of</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$75,425,625. In connection with this transaction, we incurred equity issuance costs of $4,754,089 related to payments to the underwriter, advisors and legal fees associated with the transaction, resulting in net proceeds to the Company of $70,671,536.</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quarters ended September 30, 2021, June 30, 2021, and March 31, 2021, we issued 232,340, 232,806 and 510,803 shares of our common stock, respectively, and received proceeds of $1,094,697, $1,590,767, and $1,120,011, respectively, in connection with the exercise of stock options under our 2013 equity incentive plan. Of the shares issued in the quarter ended March 31, 2021, a total of 368,329 shares were issued in a cashless transaction related to 394,739 expiring options using the net settled method whereby 26,410 options were used to pay the purchase price. The remaining 116,064 shares issued in connection with the exercise of options were all issued for cash. No shares were issued in the quarter ended June 30, 2021 in cashless transactions. Of the shares issued in the quarter ended September 30, 2021, a total of 73,501 shares were issued in a cashless transaction related to 78,334 expiring options using the net settled method whereby 4,833 options were used to pay the purchase price. The remaining 158,839 shares issued in connection with the exercise of options were all issued for cash.</w:t>
      </w:r>
    </w:p>
    <w:p>
      <w:pPr>
        <w:spacing w:after="0" w:line="17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During the quarters ended September, 30, 2020, June 30, 2020, and March 31, 2020, we issued 198,024, 55,731, and 35,032 shares of our common stock, and received proceeds of $1,045,097, $174,831 and $112,152, respectively, in connection with the exercise of stock options under our 2013 incentive plan.</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2020 and the first two quarters of 2021, each of our non-employee directors received approximately $25,000 of fully vested shares of common stock on a quarterly basis. In 2021, we issued 2,695 shares of common stock valued at $124,994 to our non-employee directors in the quarter ended March 31, 2021 and 2,035 shares valued at $125,091 in the quarter ended June 30, 2021. In the quarter ended September 30, 2021 we changed our non-employee director compensation program and began issuing restricted stock units to our non-employee directors on a quarterly basis which vest at the end of one year. In 2020, we issued 11,136 shares valued at $100,000 in the quarter ended March 31, 2020, 7,748 shares valued at $100,027 in the quarter ended June 30, 2020, and 5,915 shares valued at $124,984 in the quarter ended September 30, 2020.</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also issued 63,560 shares of our common stock in the nine months ended September 30, 2020, in connection with restricted stock unit awards as described in more detail in Note 6 – Stock Based Compensation. No shares other than the previously described non-employee director shares were issued in 2021 in connection with restricted stock unit awards.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STOCK BASED COMPENSATION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use the fair value method to account for stock-based compensation. We recorded $1,711,075 and $1,447,826 in compensation expense in the nine months ended September 30, 2021 and 2020, respectively, related to options issued under our equity compensation plans. This includes expense related to options issued in prior years for which the requisite service period for those options includes the current period as well as options issued in the current period. The fair value of these instruments was calculated using the Black-Scholes option pricing model. There is $8,654,678 of remaining expense related to unvested options to be recognized in the future over a weighted average remaining period of approximately 2.5 years. The total intrinsic value of outstanding options at September 30, 2021 was $51,205,814.</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grants to non-employee directors described in Note 5 – Stockholders’ Equity, we also recorded $651,038 and $618,783 in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expense related to restricted stock unit awards that vest over time in the nine months ended September 30, 2021, and 2020, respectively. There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$4,407,269 of remaining expense related to unvested restricted stock unit awards to be recognized in the future over a weighted average period of 3.6 years.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NOTE 7 – EARNINGS (LOSS) PER SHARE</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Basic earnings per share (“EPS”) is computed by dividing net income (loss) by the weighted average number of common shares outstanding during the period.</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number of shares related to options and restricted stock units included in diluted EPS is based on the “Treasury Stock Method” prescribed in ASC 260-10, Earnings per Share. This method assumes the theoretical repurchase of shares using proceeds of the respective stock option exercised, and for restricted stock units, the amount of compensation cost attributed to future services which have not yet been recognized, and the amount of current and deferred tax benefit, if any, that would be credited to additional paid in capital upon the vesting of the restricted stock units, at a price equal to the issuer’s average stock price during the related earnings period. Accordingly, the number of shares includable in the calculation of EPS in respect of the stock options and restricted stock units is dependent on this average stock price and will increase as the average stock price increases.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NOTE 7 – EARNINGS (LOSS) PER SHARE (continued)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601"/>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300" w:type="dxa"/>
            <w:vAlign w:val="bottom"/>
            <w:gridSpan w:val="6"/>
          </w:tcPr>
          <w:p>
            <w:pPr>
              <w:jc w:val="right"/>
              <w:ind w:right="48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00" w:type="dxa"/>
            <w:vAlign w:val="bottom"/>
            <w:gridSpan w:val="6"/>
          </w:tcPr>
          <w:p>
            <w:pPr>
              <w:jc w:val="right"/>
              <w:ind w:right="70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39,894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(282,894</w:t>
            </w:r>
            <w:r>
              <w:rPr>
                <w:rFonts w:ascii="Arial" w:cs="Arial" w:eastAsia="Arial" w:hAnsi="Arial"/>
                <w:sz w:val="31"/>
                <w:szCs w:val="31"/>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(245,383</w:t>
            </w:r>
            <w:r>
              <w:rPr>
                <w:rFonts w:ascii="Arial" w:cs="Arial" w:eastAsia="Arial" w:hAnsi="Arial"/>
                <w:sz w:val="31"/>
                <w:szCs w:val="31"/>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spacing w:after="0" w:line="271" w:lineRule="exact"/>
              <w:rPr>
                <w:sz w:val="20"/>
                <w:szCs w:val="20"/>
                <w:color w:val="auto"/>
              </w:rPr>
            </w:pPr>
            <w:r>
              <w:rPr>
                <w:rFonts w:ascii="Arial" w:cs="Arial" w:eastAsia="Arial" w:hAnsi="Arial"/>
                <w:sz w:val="17"/>
                <w:szCs w:val="17"/>
                <w:color w:val="auto"/>
              </w:rPr>
              <w:t>(3,564,293</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7"/>
              </w:rPr>
              <w:t>Weighted average shares outstanding used in computing earnings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17,639,346</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14,990,971</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17,028,762</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14,726,534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w w:val="99"/>
              </w:rPr>
              <w:t>Effect of dilutive stock options, and unvested restricted stock unit awards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559,066</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80" w:type="dxa"/>
            <w:vAlign w:val="bottom"/>
          </w:tcPr>
          <w:p>
            <w:pPr>
              <w:ind w:left="180"/>
              <w:spacing w:after="0" w:line="203" w:lineRule="exact"/>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18,198,412</w:t>
            </w:r>
          </w:p>
        </w:tc>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14,900,917</w:t>
            </w:r>
          </w:p>
        </w:tc>
        <w:tc>
          <w:tcPr>
            <w:tcW w:w="20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17,028,762</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14,726,534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(0.02</w:t>
            </w:r>
            <w:r>
              <w:rPr>
                <w:rFonts w:ascii="Arial" w:cs="Arial" w:eastAsia="Arial" w:hAnsi="Arial"/>
                <w:sz w:val="31"/>
                <w:szCs w:val="31"/>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(0.01</w:t>
            </w:r>
            <w:r>
              <w:rPr>
                <w:rFonts w:ascii="Arial" w:cs="Arial" w:eastAsia="Arial" w:hAnsi="Arial"/>
                <w:sz w:val="31"/>
                <w:szCs w:val="31"/>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spacing w:after="0" w:line="271" w:lineRule="exact"/>
              <w:rPr>
                <w:sz w:val="20"/>
                <w:szCs w:val="20"/>
                <w:color w:val="auto"/>
              </w:rPr>
            </w:pPr>
            <w:r>
              <w:rPr>
                <w:rFonts w:ascii="Arial" w:cs="Arial" w:eastAsia="Arial" w:hAnsi="Arial"/>
                <w:sz w:val="17"/>
                <w:szCs w:val="17"/>
                <w:color w:val="auto"/>
              </w:rPr>
              <w:t>(0.24</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0" w:type="dxa"/>
            <w:vAlign w:val="bottom"/>
            <w:tcBorders>
              <w:bottom w:val="single" w:sz="8" w:color="auto"/>
            </w:tcBorders>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 calculation of diluted earnings per share is included for either 2020 period or for the nine months ended September 30, 2021, as the effect of the calculation would be antidilutive.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number of common shares potentially issuable upon the exercise of certain options or for unvested restricted stock unit awards are reflected in the table below.</w:t>
      </w:r>
    </w:p>
    <w:p>
      <w:pPr>
        <w:sectPr>
          <w:pgSz w:w="11900" w:h="16838" w:orient="portrait"/>
          <w:cols w:equalWidth="0" w:num="1">
            <w:col w:w="11220"/>
          </w:cols>
          <w:pgMar w:left="320" w:top="87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80" w:right="760" w:hanging="161"/>
        <w:spacing w:after="0" w:line="258" w:lineRule="auto"/>
        <w:rPr>
          <w:sz w:val="20"/>
          <w:szCs w:val="20"/>
          <w:color w:val="auto"/>
        </w:rPr>
      </w:pPr>
      <w:r>
        <w:rPr>
          <w:rFonts w:ascii="Arial" w:cs="Arial" w:eastAsia="Arial" w:hAnsi="Arial"/>
          <w:sz w:val="18"/>
          <w:szCs w:val="18"/>
          <w:color w:val="auto"/>
        </w:rPr>
        <w:t>Weighted average number of shares excluded from calculation Unvested restricted stock unit awards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Options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4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272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4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36"/>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647"/>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113,886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111,186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120,509</w:t>
            </w:r>
          </w:p>
        </w:tc>
        <w:tc>
          <w:tcPr>
            <w:tcW w:w="1120" w:type="dxa"/>
            <w:vAlign w:val="bottom"/>
          </w:tcPr>
          <w:p>
            <w:pPr>
              <w:jc w:val="right"/>
              <w:spacing w:after="0"/>
              <w:rPr>
                <w:sz w:val="20"/>
                <w:szCs w:val="20"/>
                <w:color w:val="auto"/>
              </w:rPr>
            </w:pPr>
            <w:r>
              <w:rPr>
                <w:rFonts w:ascii="Arial" w:cs="Arial" w:eastAsia="Arial" w:hAnsi="Arial"/>
                <w:sz w:val="18"/>
                <w:szCs w:val="18"/>
                <w:color w:val="auto"/>
              </w:rPr>
              <w:t>111,186</w:t>
            </w:r>
          </w:p>
        </w:tc>
      </w:tr>
      <w:tr>
        <w:trPr>
          <w:trHeight w:val="23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445,180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984,084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406,322</w:t>
            </w:r>
          </w:p>
        </w:tc>
        <w:tc>
          <w:tcPr>
            <w:tcW w:w="1120" w:type="dxa"/>
            <w:vAlign w:val="bottom"/>
          </w:tcPr>
          <w:p>
            <w:pPr>
              <w:jc w:val="right"/>
              <w:spacing w:after="0"/>
              <w:rPr>
                <w:sz w:val="20"/>
                <w:szCs w:val="20"/>
                <w:color w:val="auto"/>
              </w:rPr>
            </w:pPr>
            <w:r>
              <w:rPr>
                <w:rFonts w:ascii="Arial" w:cs="Arial" w:eastAsia="Arial" w:hAnsi="Arial"/>
                <w:sz w:val="18"/>
                <w:szCs w:val="18"/>
                <w:color w:val="auto"/>
              </w:rPr>
              <w:t>802,330</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559,066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1,095,270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526,831</w:t>
            </w:r>
          </w:p>
        </w:tc>
        <w:tc>
          <w:tcPr>
            <w:tcW w:w="1120" w:type="dxa"/>
            <w:vAlign w:val="bottom"/>
          </w:tcPr>
          <w:p>
            <w:pPr>
              <w:jc w:val="right"/>
              <w:spacing w:after="0"/>
              <w:rPr>
                <w:sz w:val="20"/>
                <w:szCs w:val="20"/>
                <w:color w:val="auto"/>
              </w:rPr>
            </w:pPr>
            <w:r>
              <w:rPr>
                <w:rFonts w:ascii="Arial" w:cs="Arial" w:eastAsia="Arial" w:hAnsi="Arial"/>
                <w:sz w:val="18"/>
                <w:szCs w:val="18"/>
                <w:color w:val="auto"/>
              </w:rPr>
              <w:t>913,516</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60" w:space="720"/>
            <w:col w:w="5240"/>
          </w:cols>
          <w:pgMar w:left="320" w:top="877" w:right="35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8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involved in any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9 – INCOME TAXES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As discussed in our annual report on Form 10-K for the year ended December 31, 2020, we had net operating losses carryforwards for federal income tax purposes of $19.3 million as of December 31, 2020. Accordingly no federal income tax expense is recorded in the current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NOTE 10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October 2021, we received proceeds of $302,033 and issued 41,775 shares of common stock in conjunction with the exercise of stock options.</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ASC 855-10, we have analyzed events and transactions that occurred subsequent to September 30, 2021 through the date these financial statements were issued and have determined that we do not have any other material subsequent events to disclose or recognize in these financial statements.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full extent of the impact of the COVID-19 pandemic on our business, operations and financial results will depend on numerous evolving factors that we may not be able to accurately predict at the present time.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continue to abide by federal, state, and local safety regulations, including having unvaccinated employees work from home, and providing protective measures for our vaccinated employees who choose to work in our offices, including hygiene best practices as recommended by the Centers for Disease Control and local authorities. Our customers provide essential services in the healthcare industry and we believe that our digital communication technology is more important than ever in this environment. However, our revenue often comes from advertising or marketing budgets, and in a sustained economic downturn, those categories of spending may be cut.</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will continue to closely monitor the updates regarding the spread of COVID-19 and its variants, the distribution of vaccines developed to combat COVID-19, and applicable vaccine mandates, and we will adjust our business operations according to guidelines from federal, state, local or foreign authorities. In light of the foregoing, we may take actions that alter our business operations, or that we determine are in the best interests of our employees, customers, partners and stockholders.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Company Highlights through October 2021</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Generated sales of $16.1 million for the quarter ended September 30, 2021, a 53% increase over the same period in 2020.</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Generated sales of $41.0 million for the nine months ended September 30, 2021, a 52% increase over the same period in 2020.</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Achieved positive cash flow from operations of $2.1 million for the nine months ended September 30, 2021.</w:t>
      </w:r>
    </w:p>
    <w:p>
      <w:pPr>
        <w:spacing w:after="0" w:line="9" w:lineRule="exact"/>
        <w:rPr>
          <w:rFonts w:ascii="Arial" w:cs="Arial" w:eastAsia="Arial" w:hAnsi="Arial"/>
          <w:sz w:val="18"/>
          <w:szCs w:val="18"/>
          <w:color w:val="auto"/>
        </w:rPr>
      </w:pPr>
    </w:p>
    <w:p>
      <w:pPr>
        <w:ind w:left="660" w:right="100" w:hanging="652"/>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Completed all integration work for previous two acquisitions and paid last earnout payment related to acquisitions in the quarter ended March 31, 2021.</w:t>
      </w: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Raised an additional $70.7 million of capital in a public offering during the quarter ended March 31, 2021.</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Enhanced our leadership team by adding a new Chief Operating Officer and Chief Financial Officer in October 2021.</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Expanded our pipeline for our new Real World Evidence (“RWE”) messaging solution that we launched in Q2.</w:t>
      </w:r>
    </w:p>
    <w:p>
      <w:pPr>
        <w:spacing w:after="0" w:line="9" w:lineRule="exact"/>
        <w:rPr>
          <w:rFonts w:ascii="Arial" w:cs="Arial" w:eastAsia="Arial" w:hAnsi="Arial"/>
          <w:sz w:val="18"/>
          <w:szCs w:val="18"/>
          <w:color w:val="auto"/>
        </w:rPr>
      </w:pPr>
    </w:p>
    <w:p>
      <w:pPr>
        <w:ind w:left="660" w:right="160" w:hanging="652"/>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continued to execute on our omnichannel strategy by partnering with Demandbase, which leverages the combination of institutional and in-workflow behavioral data at the point-of-care, and now expands our platform to personalize support and engagement of providers and patients at all care points along the patient journey and enables our customers to tailor account-based engagement experiences.</w:t>
      </w:r>
    </w:p>
    <w:p>
      <w:pPr>
        <w:ind w:left="660" w:right="160" w:hanging="652"/>
        <w:spacing w:after="0" w:line="27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We implemented </w:t>
      </w:r>
      <w:r>
        <w:rPr>
          <w:rFonts w:ascii="Arial" w:cs="Arial" w:eastAsia="Arial" w:hAnsi="Arial"/>
          <w:sz w:val="17"/>
          <w:szCs w:val="17"/>
          <w:i w:val="1"/>
          <w:iCs w:val="1"/>
          <w:color w:val="auto"/>
        </w:rPr>
        <w:t>Therapy Initiation Workflow</w:t>
      </w:r>
      <w:r>
        <w:rPr>
          <w:rFonts w:ascii="Arial" w:cs="Arial" w:eastAsia="Arial" w:hAnsi="Arial"/>
          <w:sz w:val="17"/>
          <w:szCs w:val="17"/>
          <w:color w:val="auto"/>
        </w:rPr>
        <w:t xml:space="preserve"> solution which allows life sciences companies to simplify therapy initiation by presenting healthcare providers with a fully electronic option to synchronize enrollment, benefits verification, prior authorization, and patient support onboarding. This new solution continues to expand the breadth of our platform beyond digital communications by enabling patients to obtain the therapies they need through life sciences’ support which is facilitated through our </w:t>
      </w:r>
      <w:r>
        <w:rPr>
          <w:rFonts w:ascii="Arial" w:cs="Arial" w:eastAsia="Arial" w:hAnsi="Arial"/>
          <w:sz w:val="17"/>
          <w:szCs w:val="17"/>
          <w:i w:val="1"/>
          <w:iCs w:val="1"/>
          <w:color w:val="auto"/>
        </w:rPr>
        <w:t>Therapy Initiation and Persistence Platform</w:t>
      </w:r>
      <w:r>
        <w:rPr>
          <w:rFonts w:ascii="Arial" w:cs="Arial" w:eastAsia="Arial" w:hAnsi="Arial"/>
          <w:sz w:val="17"/>
          <w:szCs w:val="1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2021 and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reported for the three months ended September 30, 2021 was approximately $16.1 million, an increase of 53% over the approximately</w:t>
      </w:r>
    </w:p>
    <w:p>
      <w:pPr>
        <w:spacing w:after="0" w:line="4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$10.5 million from the same period in 2020. Our total revenue for the nine months ended September 30, 2021 was approximately $41.0 million, an increase of 52% over the approximately $26.9 million from the same period in 2020. The increased revenue resulted from increases in sales throughout our solutions.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1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Our cost of revenue, comprised primarily of revenue share expense, increased slightly as a percentage of revenue in the quarter and nine months ended September 30, 2021, as compared to the same periods in 2020. These changes were the result of solution mix, both as it relates to solutions itself and the partners through which the solutions are delivered. Additional discussion is included in the gross margin section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140" w:type="dxa"/>
            <w:vAlign w:val="bottom"/>
            <w:gridSpan w:val="4"/>
          </w:tcPr>
          <w:p>
            <w:pPr>
              <w:ind w:left="400"/>
              <w:spacing w:after="0"/>
              <w:rPr>
                <w:sz w:val="20"/>
                <w:szCs w:val="20"/>
                <w:color w:val="auto"/>
              </w:rPr>
            </w:pPr>
            <w:r>
              <w:rPr>
                <w:rFonts w:ascii="Arial" w:cs="Arial" w:eastAsia="Arial" w:hAnsi="Arial"/>
                <w:sz w:val="18"/>
                <w:szCs w:val="18"/>
                <w:b w:val="1"/>
                <w:bCs w:val="1"/>
                <w:color w:val="auto"/>
                <w:w w:val="96"/>
              </w:rPr>
              <w:t>Three Months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840" w:type="dxa"/>
            <w:vAlign w:val="bottom"/>
          </w:tcPr>
          <w:p>
            <w:pPr>
              <w:spacing w:after="0"/>
              <w:rPr>
                <w:sz w:val="20"/>
                <w:szCs w:val="20"/>
                <w:color w:val="auto"/>
              </w:rPr>
            </w:pPr>
          </w:p>
        </w:tc>
        <w:tc>
          <w:tcPr>
            <w:tcW w:w="2140" w:type="dxa"/>
            <w:vAlign w:val="bottom"/>
            <w:gridSpan w:val="4"/>
          </w:tcPr>
          <w:p>
            <w:pPr>
              <w:ind w:left="72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840" w:type="dxa"/>
            <w:vAlign w:val="bottom"/>
          </w:tcPr>
          <w:p>
            <w:pPr>
              <w:spacing w:after="0"/>
              <w:rPr>
                <w:sz w:val="20"/>
                <w:szCs w:val="20"/>
                <w:color w:val="auto"/>
              </w:rPr>
            </w:pPr>
          </w:p>
        </w:tc>
        <w:tc>
          <w:tcPr>
            <w:tcW w:w="7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418"/>
        </w:trPr>
        <w:tc>
          <w:tcPr>
            <w:tcW w:w="6600" w:type="dxa"/>
            <w:vAlign w:val="bottom"/>
            <w:gridSpan w:val="2"/>
          </w:tcPr>
          <w:p>
            <w:pPr>
              <w:spacing w:after="0"/>
              <w:rPr>
                <w:sz w:val="20"/>
                <w:szCs w:val="20"/>
                <w:color w:val="auto"/>
              </w:rPr>
            </w:pPr>
            <w:r>
              <w:rPr>
                <w:rFonts w:ascii="Arial" w:cs="Arial" w:eastAsia="Arial" w:hAnsi="Arial"/>
                <w:sz w:val="18"/>
                <w:szCs w:val="18"/>
                <w:color w:val="auto"/>
              </w:rPr>
              <w:t>Cost of Revenues %</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43.7%</w:t>
            </w:r>
          </w:p>
        </w:tc>
        <w:tc>
          <w:tcPr>
            <w:tcW w:w="76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42.8%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43.3%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Gross Margin %</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56.3%</w:t>
            </w:r>
          </w:p>
        </w:tc>
        <w:tc>
          <w:tcPr>
            <w:tcW w:w="7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57.2%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r>
      <w:tr>
        <w:trPr>
          <w:trHeight w:val="655"/>
        </w:trPr>
        <w:tc>
          <w:tcPr>
            <w:tcW w:w="5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reflected in the table above, our gross margin decreased slightly in both the three and nine months ended September 30, 2021 compared with the prior year. This is the result of solution mix. In general, there has been an increase in the percentage of activity flowing through our higher cost channels compared with a year ago. This was offset by the launch of our RWE solution. Our RWE solution includes a much higher percentage of program design, which carries a higher margin than the delivery of the actual messages. We expect our gross margin to remain relatively constant for the balance of the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Operating expenses increased from approximately $6.2 million for the three months ended September 30, 2020 to approximately $9.0 million for the same period in 2021. Operating expenses increased from approximately $19.0 million for the nine months ended September 30, 2020 to approximately $23.5 million for the same period in 2021. Overall, this increase results from our efforts to expand our product line and build out our organization to establish a strong base for current and future growth. Our expenses increased at a lower rate than our revenues as a result of the operating leverage of our model. The detail of expenditures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4,619,320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3,304,388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12,106,933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9,686,985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1,008,007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756,437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2,612,198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2,391,620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Contractors and Consultants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541,663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568,535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1,327,615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1,590,771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Travel</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178,711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21,802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237,466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309,424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Board Compensation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61,250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61,250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183,750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469,272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199,262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1,239,090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871,565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Investor Relations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60,630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28,356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157,936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76,483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337,778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85,085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722,343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374,152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Technology Infrastructure Costs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313,711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180,014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783,281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579,805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Integration and Exclusivity Costs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431,266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208,806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994,423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624,753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Data Costs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186,583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42,108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731,980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166,662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Office, Facility, and Other Expenses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304,703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211,606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829,193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593,084</w:t>
            </w:r>
          </w:p>
        </w:tc>
        <w:tc>
          <w:tcPr>
            <w:tcW w:w="0" w:type="dxa"/>
            <w:vAlign w:val="bottom"/>
          </w:tcPr>
          <w:p>
            <w:pPr>
              <w:spacing w:after="0"/>
              <w:rPr>
                <w:sz w:val="1"/>
                <w:szCs w:val="1"/>
                <w:color w:val="auto"/>
              </w:rPr>
            </w:pPr>
          </w:p>
        </w:tc>
      </w:tr>
      <w:tr>
        <w:trPr>
          <w:trHeight w:val="244"/>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526,035</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523,420</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1,580,173</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1,563,883</w:t>
            </w: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5980" w:type="dxa"/>
            <w:vAlign w:val="bottom"/>
            <w:vMerge w:val="continue"/>
          </w:tcPr>
          <w:p>
            <w:pPr>
              <w:spacing w:after="0"/>
              <w:rPr>
                <w:sz w:val="24"/>
                <w:szCs w:val="24"/>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9,038,929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6,191,069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23,506,381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18,993,187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increase in operating expenses related to salaries, wages, and benefits and other human resource related costs is due to the expansion of our team to support additional growth. Through the end of September, we have hired 32 new people this year, largely in areas focused on increasing revenue. This increase is partly offset by the decrease in contractors and consultants, as we have brought functions in house that were previously outsourced.</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salaries, wages, and benefits to continue to increase in the fourth quarter due to the full impact of new hires already in place, as well as new hires in the pipeline.</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Travel expense remains down on a year to date basis as a result of pandemic-related travel restrictions, We reopened travel at the end of the second quarter and incurred significantly more travel expenses in the quarter ended September 30, 2021 than in the prior year due relaxed travel restrictions.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ind w:right="80"/>
        <w:spacing w:after="0" w:line="255" w:lineRule="auto"/>
        <w:rPr>
          <w:sz w:val="20"/>
          <w:szCs w:val="20"/>
          <w:color w:val="auto"/>
        </w:rPr>
      </w:pPr>
      <w:r>
        <w:rPr>
          <w:rFonts w:ascii="Arial" w:cs="Arial" w:eastAsia="Arial" w:hAnsi="Arial"/>
          <w:sz w:val="18"/>
          <w:szCs w:val="18"/>
          <w:color w:val="auto"/>
        </w:rPr>
        <w:t>Professional fees increased in both the three and nine months ended September 30, 2021 compared with the prior year. With the assistance of an outside legal firm, we undertook a comprehensive governance review of our bylaws, board charters, equity compensation plan, and overall corporate policies to enhance and improve our overall governance. This review accounts for the majority of the year to date increase. In addition, due to the increase in our market cap, our outside auditors are now required to render an opinion on our internal controls. Our expenditures on professional fees in connection with the preparation for and work related to that audit in 2021 increased in the quarter ended September 30, 2021. We would expect professional fees to remain at a similar level for the balance of the year.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 expense increased due to the expansion of our communication efforts to reach retail investors and expand our shareholder base.</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Technology infrastructure costs increased due to continued investment in our operating systems to facilitate new products as well as the implementation of additional software products to increase efficiency and information dissemination.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Data costs increased as we have purchased more data, primarily to aid in our selling effort and allow customers to target their messages more appropriately, thereby increasing our ability to charge premium prices for more highly targeted messages.</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Integration and exclusivity costs represent payments to partners for access and/or exclusivity and increased because of new agreements signed. These payments are usually made in lump sums and expensed over the term of the contracts. These expenses are an important part of our ability to expand our network.</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office, facility and other expenses increased primarily because of the addition of new employees, including recruiter fees, as well as the reopening of our offices.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variances in the table above are the result of fluctuations in the ordinary course of business.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expect our overall operating expenses to increase on a quarterly basis for the balance of the year as we further implement our business plan. We do not expect human resource costs to increase as quickly as revenues, however we do expect to hire additional employees to support and accelerate our anticipated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had net income of $.04 million for the three months ended September 30, 2021, as compared to a net loss of $0.3 million during the same period in 2020. We had a loss of approximately $0.2 million for the nine months ended September 30, 2021, as compared to net loss of approximately $3.6 million during the same period in 2020. The reasons and specific components associated with the change are discussed above. Overall, the net income for three months ended September 30, 2021 and decreased loss for the nine month period ended September 30, 2021 resulted from the increased margin generated by our higher revenues, partially offset by the increased operating expenses.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of September 30, 2021, we had total current assets of $108.4 million, compared with current liabilities of $7.6 million, resulting in working capital of approximately $100.8 million and a current ratio of 14.8 to 1. This represents an increase from our working capital of approximately $23 million and current ratio of 3 to 1 at December 31, 2020.</w:t>
      </w:r>
    </w:p>
    <w:p>
      <w:pPr>
        <w:spacing w:after="0" w:line="18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operating activities provided approximately $2.1 million in cash flow during the nine months ended September 30, 2021, compared with cash used of approximately $3.7 million in the same period in 2020. The cash provided in the 2021 period was the result of our net loss increased by noncash expenses, which resulted in positive cash flow. This was partially offset by working capital used in the reduction of liabilities and to support growth in accounts receivable due to our increased revenue levels. The cash used in the 2020 period was primarily the result of increased investment in working capital; in particular, we made a $2.0 million prepayment to a partner that was expensed over the balance of the year.</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19" w:name="page20"/>
    <w:bookmarkEnd w:id="19"/>
    <w:p>
      <w:pPr>
        <w:ind w:right="120"/>
        <w:spacing w:after="0" w:line="277" w:lineRule="auto"/>
        <w:rPr>
          <w:sz w:val="20"/>
          <w:szCs w:val="20"/>
          <w:color w:val="auto"/>
        </w:rPr>
      </w:pPr>
      <w:r>
        <w:rPr>
          <w:rFonts w:ascii="Arial" w:cs="Arial" w:eastAsia="Arial" w:hAnsi="Arial"/>
          <w:sz w:val="18"/>
          <w:szCs w:val="18"/>
          <w:color w:val="auto"/>
        </w:rPr>
        <w:t>We used insignificant amounts in investing activities in both the nine months ended September 30, 2021 and 2020. These investments related to purchases of equipment as well as investments related to the expansion of our network capabilities in our adherence solution.</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financing activities provided $72.9 million in the nine months ended September 30, 2021, compared with cash used of approximately $3.1 million in the same period in 2020. We raised $70.7 million in a public offering of our common stock as well as generated $3.8 million from the issuance of shares related to the exercise of stock options. These were partially offset by the payment of $1.6 million in earnout payments from a previous acquisition. We have no remaining earnout payments due in the future. In the 2020 period, financing activities used approximately $4.4 million related to earnout payments from a previous acquisition, offset by $1.3 million from the issuance of shares related to the exercise of stock options.</w:t>
      </w:r>
    </w:p>
    <w:p>
      <w:pPr>
        <w:spacing w:after="0" w:line="17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main source of liquidity has historically been from the issuance of common stock. We do not anticipate the need to raise additional capital in the short or long term for operating purposes or to fund our growth plans. We are focused on growing our revenue, channel and partner network. However, as a company in a market that is active with merger and acquisition activity, we may have opportunities, such as for acquisitions or strategic partner relationships, which may require additional capital. We will assess these opportunities as they arise with the view of maximizing shareholder value.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Jim Lang, one of our Board Members, is the CEO of Eversana, a leading global provider of services to the life sciences industry. Eversana is similar to other customers we generate revenue from, such as agencies or resellers. In 2021 we have recognized revenue of $150,000 from Eversana and have open contracts as of September 30, 2021 that will result in an additional $160,000. These contracts were sourced by Eversana on behalf of life science customers of theirs. The contracts are at market rates and were generated in the normal course of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There have been no material changes to our critical accounting policies as described in the footnotes to our financial statements included in our annual report on Form 10-K for the year ended December 31, 2020; however, we consider our critical accounting policies to be those related to determining the amount of revenue to be billed, the timing of revenue recognition, calculation of revenue share expense, stock-based compensation, capitalization and related amortization of intangible assets, impairment of assets, and the fair value of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ASU 2019-12 is intended to improve consistent application and simplify the accounting for income taxes. ASU 2019-12 removes certain exceptions to the general principles in Topic 740 and clarifies and amends existing guidance. ASU 2019-12 was effective for annual and interim reporting periods beginning after December 12, 2020, with early adoption permitted. The adoption of this standard did not have a material effect on our financial position, results of operations, or cash flows.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or submitted under the Securities Exchange Act of 1934, as amended (the “Exchange Act”), is recorded, processed, summarized and reported within the time periods specified in the SEC’s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our disclosure controls and procedures, as defined in Rule 13a-15(e), were effective at the reasonable assurance level.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quarter ended September 30, 2021, we made routine ongoing improvements in our internal control and processes and hired an additional finance department team member, however, there was no change in our internal control over financial reporting (as defined in Rule 13a-15(f) under the Exchange Act), that occurred during the quarter ended September 30, 2021, that has materially affected, or is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jc w:val="center"/>
        <w:ind w:right="-19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from the risk factors previously reported in Part I, Item 1A, "Risk Factors," of our Annual Report on Form 10-K for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877" w:right="5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00" w:type="dxa"/>
            <w:vAlign w:val="bottom"/>
            <w:gridSpan w:val="17"/>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10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 1*</w:t>
            </w:r>
          </w:p>
        </w:tc>
        <w:tc>
          <w:tcPr>
            <w:tcW w:w="120" w:type="dxa"/>
            <w:vAlign w:val="bottom"/>
          </w:tcPr>
          <w:p>
            <w:pPr>
              <w:spacing w:after="0"/>
              <w:rPr>
                <w:sz w:val="15"/>
                <w:szCs w:val="15"/>
                <w:color w:val="auto"/>
              </w:rPr>
            </w:pPr>
          </w:p>
        </w:tc>
        <w:tc>
          <w:tcPr>
            <w:tcW w:w="10000" w:type="dxa"/>
            <w:vAlign w:val="bottom"/>
            <w:tcBorders>
              <w:top w:val="single" w:sz="8" w:color="auto"/>
              <w:bottom w:val="single" w:sz="8" w:color="0000EE"/>
            </w:tcBorders>
            <w:gridSpan w:val="14"/>
          </w:tcPr>
          <w:p>
            <w:pPr>
              <w:spacing w:after="0" w:line="17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OptimizeRx 2021 Equity Incentive Plan. Incorporated by reference to Exhibit 10.1 to the Company’s Current Report on Form 8-K filed on</w:t>
              </w:r>
            </w:hyperlink>
          </w:p>
        </w:tc>
        <w:tc>
          <w:tcPr>
            <w:tcW w:w="100" w:type="dxa"/>
            <w:vAlign w:val="bottom"/>
            <w:tcBorders>
              <w:top w:val="single" w:sz="8" w:color="auto"/>
            </w:tcBorders>
            <w:gridSpan w:val="3"/>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August 25,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100" w:type="dxa"/>
            <w:vAlign w:val="bottom"/>
            <w:gridSpan w:val="17"/>
          </w:tcPr>
          <w:p>
            <w:pPr>
              <w:spacing w:after="0"/>
              <w:rPr>
                <w:rFonts w:ascii="Arial" w:cs="Arial" w:eastAsia="Arial" w:hAnsi="Arial"/>
                <w:sz w:val="18"/>
                <w:szCs w:val="18"/>
                <w:color w:val="0000EE"/>
                <w:w w:val="96"/>
              </w:rPr>
            </w:pPr>
            <w:hyperlink r:id="rId45">
              <w:r>
                <w:rPr>
                  <w:rFonts w:ascii="Arial" w:cs="Arial" w:eastAsia="Arial" w:hAnsi="Arial"/>
                  <w:sz w:val="18"/>
                  <w:szCs w:val="18"/>
                  <w:color w:val="0000EE"/>
                  <w:w w:val="96"/>
                </w:rPr>
                <w:t>Form of Stock Option Award for grants under the OptimizeRx Corporation 2021 Equity Incentive Plan. Incorporated by reference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Exhibit 10.2 to the Company’s Current Report on Form 8-K filed on August 25, 2021.</w:t>
              </w:r>
            </w:hyperlink>
          </w:p>
        </w:tc>
        <w:tc>
          <w:tcPr>
            <w:tcW w:w="520" w:type="dxa"/>
            <w:vAlign w:val="bottom"/>
            <w:gridSpan w:val="8"/>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100" w:type="dxa"/>
            <w:vAlign w:val="bottom"/>
            <w:gridSpan w:val="17"/>
          </w:tcPr>
          <w:p>
            <w:pPr>
              <w:spacing w:after="0"/>
              <w:rPr>
                <w:rFonts w:ascii="Arial" w:cs="Arial" w:eastAsia="Arial" w:hAnsi="Arial"/>
                <w:sz w:val="18"/>
                <w:szCs w:val="18"/>
                <w:color w:val="0000EE"/>
                <w:w w:val="96"/>
              </w:rPr>
            </w:pPr>
            <w:hyperlink r:id="rId46">
              <w:r>
                <w:rPr>
                  <w:rFonts w:ascii="Arial" w:cs="Arial" w:eastAsia="Arial" w:hAnsi="Arial"/>
                  <w:sz w:val="18"/>
                  <w:szCs w:val="18"/>
                  <w:color w:val="0000EE"/>
                  <w:w w:val="96"/>
                </w:rPr>
                <w:t>Form of Performance Stock Option Award for grants under the OptimizeRx Corporation 2021 Equity Incentive Plan. Incorporated by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reference to Exhibit 10.3 to the Company’s Current Report on Form 8-K filed on August 25, 2021.</w:t>
              </w:r>
            </w:hyperlink>
          </w:p>
        </w:tc>
        <w:tc>
          <w:tcPr>
            <w:tcW w:w="500" w:type="dxa"/>
            <w:vAlign w:val="bottom"/>
            <w:gridSpan w:val="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960" w:type="dxa"/>
            <w:vAlign w:val="bottom"/>
            <w:tcBorders>
              <w:bottom w:val="single" w:sz="8" w:color="0000EE"/>
            </w:tcBorders>
            <w:gridSpan w:val="12"/>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Form of Restricted Stock Unit Award for grants under the OptimizeRx Corporation 2021 Equity Incentive Plan. Incorporated by reference</w:t>
              </w:r>
            </w:hyperlink>
          </w:p>
        </w:tc>
        <w:tc>
          <w:tcPr>
            <w:tcW w:w="14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to Exhibit 10.4 to the Company’s Current Report on Form 8-K filed on August 25,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080" w:type="dxa"/>
            <w:vAlign w:val="bottom"/>
            <w:tcBorders>
              <w:bottom w:val="single" w:sz="8" w:color="0000EE"/>
            </w:tcBorders>
            <w:gridSpan w:val="16"/>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Form of Performance Restricted Stock Unit Award for grants under the OptimizeRx Corporation 2021. Incorporated by reference to Exhibit</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10.</w:t>
              </w:r>
              <w:r>
                <w:rPr>
                  <w:rFonts w:ascii="Arial" w:cs="Arial" w:eastAsia="Arial" w:hAnsi="Arial"/>
                  <w:sz w:val="18"/>
                  <w:szCs w:val="18"/>
                  <w:u w:val="single" w:color="auto"/>
                  <w:color w:val="0000EE"/>
                </w:rPr>
                <w:t>5</w:t>
              </w:r>
              <w:r>
                <w:rPr>
                  <w:rFonts w:ascii="Arial" w:cs="Arial" w:eastAsia="Arial" w:hAnsi="Arial"/>
                  <w:sz w:val="18"/>
                  <w:szCs w:val="18"/>
                  <w:color w:val="0000EE"/>
                </w:rPr>
                <w:t xml:space="preserve"> to the Company’s Current Report on Form 8-K filed on August 25,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Offer Letter by and between the Company and Edward Stelmakh. Incorporated by reference to Exhibit 10.1 to the Company’s Current</w:t>
              </w:r>
            </w:hyperlink>
          </w:p>
        </w:tc>
        <w:tc>
          <w:tcPr>
            <w:tcW w:w="44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Report on Form 8-K filed on September 30, 2021.</w:t>
              </w:r>
            </w:hyperlink>
          </w:p>
        </w:tc>
        <w:tc>
          <w:tcPr>
            <w:tcW w:w="6480" w:type="dxa"/>
            <w:vAlign w:val="bottom"/>
            <w:gridSpan w:val="13"/>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04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Certification of Chief Executive Officer pursuant to 18 U.S.C. Section 1350, as adopted pursuant to Section 302 of the Sarbanes-Oxley Act</w:t>
              </w:r>
            </w:hyperlink>
          </w:p>
        </w:tc>
        <w:tc>
          <w:tcPr>
            <w:tcW w:w="6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of 2002</w:t>
              </w:r>
            </w:hyperlink>
          </w:p>
        </w:tc>
        <w:tc>
          <w:tcPr>
            <w:tcW w:w="9540" w:type="dxa"/>
            <w:vAlign w:val="bottom"/>
            <w:gridSpan w:val="16"/>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100" w:type="dxa"/>
            <w:vAlign w:val="bottom"/>
            <w:gridSpan w:val="17"/>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Certification of Chief Financial Officer pursuant to 18 U.S.C. Section 1350, as adopted pursuant to Section 302 of the Sarbanes-Oxley Act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of 2002</w:t>
              </w:r>
            </w:hyperlink>
          </w:p>
        </w:tc>
        <w:tc>
          <w:tcPr>
            <w:tcW w:w="9420" w:type="dxa"/>
            <w:vAlign w:val="bottom"/>
            <w:tcBorders>
              <w:top w:val="single" w:sz="8" w:color="0000EE"/>
            </w:tcBorders>
            <w:gridSpan w:val="12"/>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 of Chief Executive Officer and Chief Financial Officer pursuant to 18 U.S.C. Section 1350, as adopted pursuant to Section 906</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of the Sarbanes-Oxley Act of 2002</w:t>
              </w:r>
            </w:hyperlink>
          </w:p>
        </w:tc>
        <w:tc>
          <w:tcPr>
            <w:tcW w:w="7580" w:type="dxa"/>
            <w:vAlign w:val="bottom"/>
            <w:gridSpan w:val="14"/>
          </w:tcPr>
          <w:p>
            <w:pPr>
              <w:spacing w:after="0"/>
              <w:rPr>
                <w:sz w:val="17"/>
                <w:szCs w:val="17"/>
                <w:color w:val="auto"/>
              </w:rPr>
            </w:pPr>
          </w:p>
        </w:tc>
      </w:tr>
      <w:tr>
        <w:trPr>
          <w:trHeight w:val="453"/>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7"/>
          </w:tcPr>
          <w:p>
            <w:pPr>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left="340" w:right="180" w:hanging="332"/>
        <w:spacing w:after="0" w:line="25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Exhibits have been omitted to Item 601(a)(5) of Regulation S-K. The Company agrees to furnish supplementally a copy of any omitted exhibit to the SEC upon request.</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Provided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3080"/>
              <w:spacing w:after="0"/>
              <w:rPr>
                <w:sz w:val="20"/>
                <w:szCs w:val="20"/>
                <w:color w:val="auto"/>
              </w:rPr>
            </w:pPr>
            <w:r>
              <w:rPr>
                <w:rFonts w:ascii="Arial" w:cs="Arial" w:eastAsia="Arial" w:hAnsi="Arial"/>
                <w:sz w:val="18"/>
                <w:szCs w:val="18"/>
                <w:b w:val="1"/>
                <w:bCs w:val="1"/>
                <w:color w:val="auto"/>
              </w:rPr>
              <w:t>OptimizeRx Corporation</w:t>
            </w:r>
          </w:p>
        </w:tc>
      </w:tr>
      <w:tr>
        <w:trPr>
          <w:trHeight w:val="439"/>
        </w:trPr>
        <w:tc>
          <w:tcPr>
            <w:tcW w:w="3680" w:type="dxa"/>
            <w:vAlign w:val="bottom"/>
          </w:tcPr>
          <w:p>
            <w:pPr>
              <w:spacing w:after="0"/>
              <w:rPr>
                <w:sz w:val="20"/>
                <w:szCs w:val="20"/>
                <w:color w:val="auto"/>
              </w:rPr>
            </w:pPr>
            <w:r>
              <w:rPr>
                <w:rFonts w:ascii="Arial" w:cs="Arial" w:eastAsia="Arial" w:hAnsi="Arial"/>
                <w:sz w:val="18"/>
                <w:szCs w:val="18"/>
                <w:color w:val="auto"/>
              </w:rPr>
              <w:t>Date: November 9, 2021</w:t>
            </w:r>
          </w:p>
        </w:tc>
        <w:tc>
          <w:tcPr>
            <w:tcW w:w="3640" w:type="dxa"/>
            <w:vAlign w:val="bottom"/>
          </w:tcPr>
          <w:p>
            <w:pPr>
              <w:ind w:left="30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36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3680" w:type="dxa"/>
            <w:vAlign w:val="bottom"/>
          </w:tcPr>
          <w:p>
            <w:pPr>
              <w:spacing w:after="0"/>
              <w:rPr>
                <w:sz w:val="18"/>
                <w:szCs w:val="18"/>
                <w:color w:val="auto"/>
              </w:rPr>
            </w:pPr>
          </w:p>
        </w:tc>
        <w:tc>
          <w:tcPr>
            <w:tcW w:w="3640" w:type="dxa"/>
            <w:vAlign w:val="bottom"/>
          </w:tcPr>
          <w:p>
            <w:pPr>
              <w:ind w:left="30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Executive Officer and</w:t>
            </w:r>
          </w:p>
        </w:tc>
      </w:tr>
      <w:tr>
        <w:trPr>
          <w:trHeight w:val="234"/>
        </w:trPr>
        <w:tc>
          <w:tcPr>
            <w:tcW w:w="36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r>
      <w:tr>
        <w:trPr>
          <w:trHeight w:val="432"/>
        </w:trPr>
        <w:tc>
          <w:tcPr>
            <w:tcW w:w="3680" w:type="dxa"/>
            <w:vAlign w:val="bottom"/>
          </w:tcPr>
          <w:p>
            <w:pPr>
              <w:spacing w:after="0"/>
              <w:rPr>
                <w:sz w:val="24"/>
                <w:szCs w:val="24"/>
                <w:color w:val="auto"/>
              </w:rPr>
            </w:pPr>
          </w:p>
        </w:tc>
        <w:tc>
          <w:tcPr>
            <w:tcW w:w="7560" w:type="dxa"/>
            <w:vAlign w:val="bottom"/>
            <w:gridSpan w:val="2"/>
          </w:tcPr>
          <w:p>
            <w:pPr>
              <w:ind w:left="3080"/>
              <w:spacing w:after="0"/>
              <w:rPr>
                <w:sz w:val="20"/>
                <w:szCs w:val="20"/>
                <w:color w:val="auto"/>
              </w:rPr>
            </w:pPr>
            <w:r>
              <w:rPr>
                <w:rFonts w:ascii="Arial" w:cs="Arial" w:eastAsia="Arial" w:hAnsi="Arial"/>
                <w:sz w:val="18"/>
                <w:szCs w:val="18"/>
                <w:b w:val="1"/>
                <w:bCs w:val="1"/>
                <w:color w:val="auto"/>
              </w:rPr>
              <w:t>OptimizeRx Corporation</w:t>
            </w:r>
          </w:p>
        </w:tc>
      </w:tr>
      <w:tr>
        <w:trPr>
          <w:trHeight w:val="439"/>
        </w:trPr>
        <w:tc>
          <w:tcPr>
            <w:tcW w:w="3680" w:type="dxa"/>
            <w:vAlign w:val="bottom"/>
          </w:tcPr>
          <w:p>
            <w:pPr>
              <w:spacing w:after="0"/>
              <w:rPr>
                <w:sz w:val="20"/>
                <w:szCs w:val="20"/>
                <w:color w:val="auto"/>
              </w:rPr>
            </w:pPr>
            <w:r>
              <w:rPr>
                <w:rFonts w:ascii="Arial" w:cs="Arial" w:eastAsia="Arial" w:hAnsi="Arial"/>
                <w:sz w:val="18"/>
                <w:szCs w:val="18"/>
                <w:color w:val="auto"/>
              </w:rPr>
              <w:t>Date: November 9, 2021</w:t>
            </w:r>
          </w:p>
        </w:tc>
        <w:tc>
          <w:tcPr>
            <w:tcW w:w="3640" w:type="dxa"/>
            <w:vAlign w:val="bottom"/>
          </w:tcPr>
          <w:p>
            <w:pPr>
              <w:ind w:left="30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Stelmakh</w:t>
            </w:r>
          </w:p>
        </w:tc>
      </w:tr>
      <w:tr>
        <w:trPr>
          <w:trHeight w:val="198"/>
        </w:trPr>
        <w:tc>
          <w:tcPr>
            <w:tcW w:w="36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Edward Stelmakh</w:t>
            </w:r>
          </w:p>
        </w:tc>
      </w:tr>
      <w:tr>
        <w:trPr>
          <w:trHeight w:val="216"/>
        </w:trPr>
        <w:tc>
          <w:tcPr>
            <w:tcW w:w="3680" w:type="dxa"/>
            <w:vAlign w:val="bottom"/>
          </w:tcPr>
          <w:p>
            <w:pPr>
              <w:spacing w:after="0"/>
              <w:rPr>
                <w:sz w:val="18"/>
                <w:szCs w:val="18"/>
                <w:color w:val="auto"/>
              </w:rPr>
            </w:pPr>
          </w:p>
        </w:tc>
        <w:tc>
          <w:tcPr>
            <w:tcW w:w="3640" w:type="dxa"/>
            <w:vAlign w:val="bottom"/>
          </w:tcPr>
          <w:p>
            <w:pPr>
              <w:ind w:left="30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16"/>
        </w:trPr>
        <w:tc>
          <w:tcPr>
            <w:tcW w:w="36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Financial Officer and</w:t>
            </w:r>
          </w:p>
        </w:tc>
      </w:tr>
      <w:tr>
        <w:trPr>
          <w:trHeight w:val="234"/>
        </w:trPr>
        <w:tc>
          <w:tcPr>
            <w:tcW w:w="36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r>
        <w:trPr>
          <w:trHeight w:val="655"/>
        </w:trPr>
        <w:tc>
          <w:tcPr>
            <w:tcW w:w="36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22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OptimizeRx Corp (the “registrant”);</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J. Febbo</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Edward Stelmakh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OptimizeRx Corp (the “registrant”);</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Edward Stelmakh</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 connection with the quarterly Report of OptimizeRx Corp (the “Company”) on Form 10-Q for the quarter ended September 30, 2021 filed with the Securities and Exchange Commission (the “Report”), I, Will Febbo, Chief Executive Officer and I, Edward Stelmakh,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660" w:right="38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Willian J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November 9, 2021</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Stelmakh</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Edward Stelmakh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November 9, 2021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44" Type="http://schemas.openxmlformats.org/officeDocument/2006/relationships/hyperlink" Target="http://www.sec.gov/Archives/edgar/data/1448431/000121390021044810/ea146392ex10-1_optimizerx.htm" TargetMode="External"/><Relationship Id="rId45" Type="http://schemas.openxmlformats.org/officeDocument/2006/relationships/hyperlink" Target="http://www.sec.gov/Archives/edgar/data/1448431/000121390021044810/ea146392ex10-2_optimizerx.htm" TargetMode="External"/><Relationship Id="rId46" Type="http://schemas.openxmlformats.org/officeDocument/2006/relationships/hyperlink" Target="http://www.sec.gov/Archives/edgar/data/1448431/000121390021044810/ea146392ex10-3_optimizerx.htm" TargetMode="External"/><Relationship Id="rId47" Type="http://schemas.openxmlformats.org/officeDocument/2006/relationships/hyperlink" Target="http://www.sec.gov/Archives/edgar/data/1448431/000121390021044810/ea146392ex10-4_optimizerx.htm" TargetMode="External"/><Relationship Id="rId48" Type="http://schemas.openxmlformats.org/officeDocument/2006/relationships/hyperlink" Target="http://www.sec.gov/Archives/edgar/data/1448431/000121390021044810/ea146392ex10-5_optimizerx.htm" TargetMode="External"/><Relationship Id="rId49" Type="http://schemas.openxmlformats.org/officeDocument/2006/relationships/hyperlink" Target="http://www.sec.gov/Archives/edgar/data/1448431/000121390021050817/ea148140ex10-1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2021-11-09T15:26:51Z</dcterms:created>
  <dcterms:modified xsi:type="dcterms:W3CDTF">2021-11-09T15:26:51Z</dcterms:modified>
</cp:coreProperties>
</file>