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FORM 10-K /A</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Amendment #1</w:t>
      </w:r>
    </w:p>
    <w:p>
      <w:pPr>
        <w:spacing w:after="0" w:line="238" w:lineRule="exact"/>
        <w:rPr>
          <w:sz w:val="24"/>
          <w:szCs w:val="24"/>
          <w:color w:val="auto"/>
        </w:rPr>
      </w:pPr>
    </w:p>
    <w:p>
      <w:pPr>
        <w:ind w:left="2200" w:right="1860" w:hanging="359"/>
        <w:spacing w:after="0" w:line="277" w:lineRule="auto"/>
        <w:tabs>
          <w:tab w:leader="none" w:pos="2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UNDER SECTION 13 OR 15(d) OF THE SECURITIES EXCHANGE ACT OF 1934</w:t>
      </w:r>
    </w:p>
    <w:p>
      <w:pPr>
        <w:spacing w:after="0" w:line="166" w:lineRule="exact"/>
        <w:rPr>
          <w:sz w:val="24"/>
          <w:szCs w:val="24"/>
          <w:color w:val="auto"/>
        </w:rPr>
      </w:pPr>
    </w:p>
    <w:p>
      <w:pPr>
        <w:ind w:left="638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2010</w:t>
      </w:r>
    </w:p>
    <w:p>
      <w:pPr>
        <w:spacing w:after="0" w:line="229" w:lineRule="exact"/>
        <w:rPr>
          <w:sz w:val="24"/>
          <w:szCs w:val="24"/>
          <w:color w:val="auto"/>
        </w:rPr>
      </w:pPr>
    </w:p>
    <w:p>
      <w:pPr>
        <w:ind w:left="5760" w:right="1720" w:hanging="3899"/>
        <w:spacing w:after="0" w:line="561" w:lineRule="auto"/>
        <w:tabs>
          <w:tab w:leader="none" w:pos="2011"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UNDER SECTION 13 OR 15(d) OF THE SECURITIES EXCHANGE ACT For the transition period from _________ to ________</w:t>
      </w:r>
    </w:p>
    <w:p>
      <w:pPr>
        <w:ind w:left="6980"/>
        <w:spacing w:after="0"/>
        <w:rPr>
          <w:rFonts w:ascii="Arial" w:cs="Arial" w:eastAsia="Arial" w:hAnsi="Arial"/>
          <w:sz w:val="16"/>
          <w:szCs w:val="16"/>
          <w:color w:val="auto"/>
        </w:rPr>
      </w:pPr>
      <w:r>
        <w:rPr>
          <w:rFonts w:ascii="Arial" w:cs="Arial" w:eastAsia="Arial" w:hAnsi="Arial"/>
          <w:sz w:val="18"/>
          <w:szCs w:val="18"/>
          <w:color w:val="auto"/>
        </w:rPr>
        <w:t>Commission file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000-53605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0"/>
              </w:rPr>
              <w:t>Nevada</w:t>
            </w:r>
          </w:p>
        </w:tc>
        <w:tc>
          <w:tcPr>
            <w:tcW w:w="580" w:type="dxa"/>
            <w:vAlign w:val="bottom"/>
          </w:tcPr>
          <w:p>
            <w:pPr>
              <w:spacing w:after="0"/>
              <w:rPr>
                <w:sz w:val="17"/>
                <w:szCs w:val="17"/>
                <w:color w:val="auto"/>
              </w:rPr>
            </w:pPr>
          </w:p>
        </w:tc>
        <w:tc>
          <w:tcPr>
            <w:tcW w:w="288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89"/>
              </w:rPr>
              <w:t>26-1265381</w:t>
            </w: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760" w:type="dxa"/>
            <w:vAlign w:val="bottom"/>
            <w:gridSpan w:val="9"/>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880" w:type="dxa"/>
            <w:vAlign w:val="bottom"/>
            <w:gridSpan w:val="6"/>
          </w:tcPr>
          <w:p>
            <w:pPr>
              <w:jc w:val="center"/>
              <w:ind w:left="170"/>
              <w:spacing w:after="0"/>
              <w:rPr>
                <w:sz w:val="20"/>
                <w:szCs w:val="20"/>
                <w:color w:val="auto"/>
              </w:rPr>
            </w:pPr>
            <w:r>
              <w:rPr>
                <w:rFonts w:ascii="Arial" w:cs="Arial" w:eastAsia="Arial" w:hAnsi="Arial"/>
                <w:sz w:val="18"/>
                <w:szCs w:val="18"/>
                <w:color w:val="auto"/>
                <w:w w:val="94"/>
              </w:rPr>
              <w:t>(I.R.S. Employer Identification No.)</w:t>
            </w:r>
          </w:p>
        </w:tc>
      </w:tr>
      <w:tr>
        <w:trPr>
          <w:trHeight w:val="630"/>
        </w:trPr>
        <w:tc>
          <w:tcPr>
            <w:tcW w:w="1820" w:type="dxa"/>
            <w:vAlign w:val="bottom"/>
          </w:tcPr>
          <w:p>
            <w:pPr>
              <w:spacing w:after="0"/>
              <w:rPr>
                <w:sz w:val="24"/>
                <w:szCs w:val="24"/>
                <w:color w:val="auto"/>
              </w:rPr>
            </w:pPr>
          </w:p>
        </w:tc>
        <w:tc>
          <w:tcPr>
            <w:tcW w:w="2360" w:type="dxa"/>
            <w:vAlign w:val="bottom"/>
            <w:gridSpan w:val="7"/>
          </w:tcPr>
          <w:p>
            <w:pPr>
              <w:jc w:val="center"/>
              <w:ind w:right="1300"/>
              <w:spacing w:after="0"/>
              <w:rPr>
                <w:sz w:val="20"/>
                <w:szCs w:val="20"/>
                <w:color w:val="auto"/>
              </w:rPr>
            </w:pPr>
            <w:r>
              <w:rPr>
                <w:rFonts w:ascii="Arial" w:cs="Arial" w:eastAsia="Arial" w:hAnsi="Arial"/>
                <w:sz w:val="18"/>
                <w:szCs w:val="18"/>
                <w:b w:val="1"/>
                <w:bCs w:val="1"/>
                <w:color w:val="auto"/>
                <w:w w:val="89"/>
              </w:rPr>
              <w:t>407 6th Street</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1820" w:type="dxa"/>
            <w:vAlign w:val="bottom"/>
          </w:tcPr>
          <w:p>
            <w:pPr>
              <w:spacing w:after="0"/>
              <w:rPr>
                <w:sz w:val="16"/>
                <w:szCs w:val="16"/>
                <w:color w:val="auto"/>
              </w:rPr>
            </w:pPr>
          </w:p>
        </w:tc>
        <w:tc>
          <w:tcPr>
            <w:tcW w:w="2360" w:type="dxa"/>
            <w:vAlign w:val="bottom"/>
            <w:gridSpan w:val="7"/>
          </w:tcPr>
          <w:p>
            <w:pPr>
              <w:jc w:val="center"/>
              <w:ind w:right="1280"/>
              <w:spacing w:after="0" w:line="194" w:lineRule="exact"/>
              <w:rPr>
                <w:sz w:val="20"/>
                <w:szCs w:val="20"/>
                <w:color w:val="auto"/>
              </w:rPr>
            </w:pPr>
            <w:r>
              <w:rPr>
                <w:rFonts w:ascii="Arial" w:cs="Arial" w:eastAsia="Arial" w:hAnsi="Arial"/>
                <w:sz w:val="18"/>
                <w:szCs w:val="18"/>
                <w:b w:val="1"/>
                <w:bCs w:val="1"/>
                <w:color w:val="auto"/>
                <w:w w:val="87"/>
              </w:rPr>
              <w:t>Rochester, MI,</w:t>
            </w:r>
          </w:p>
        </w:tc>
        <w:tc>
          <w:tcPr>
            <w:tcW w:w="580" w:type="dxa"/>
            <w:vAlign w:val="bottom"/>
          </w:tcPr>
          <w:p>
            <w:pPr>
              <w:spacing w:after="0"/>
              <w:rPr>
                <w:sz w:val="16"/>
                <w:szCs w:val="16"/>
                <w:color w:val="auto"/>
              </w:rPr>
            </w:pPr>
          </w:p>
        </w:tc>
        <w:tc>
          <w:tcPr>
            <w:tcW w:w="2020" w:type="dxa"/>
            <w:vAlign w:val="bottom"/>
            <w:gridSpan w:val="5"/>
          </w:tcPr>
          <w:p>
            <w:pPr>
              <w:jc w:val="center"/>
              <w:ind w:left="1030"/>
              <w:spacing w:after="0" w:line="194" w:lineRule="exact"/>
              <w:rPr>
                <w:sz w:val="20"/>
                <w:szCs w:val="20"/>
                <w:color w:val="auto"/>
              </w:rPr>
            </w:pPr>
            <w:r>
              <w:rPr>
                <w:rFonts w:ascii="Arial" w:cs="Arial" w:eastAsia="Arial" w:hAnsi="Arial"/>
                <w:sz w:val="18"/>
                <w:szCs w:val="18"/>
                <w:b w:val="1"/>
                <w:bCs w:val="1"/>
                <w:color w:val="auto"/>
                <w:w w:val="91"/>
              </w:rPr>
              <w:t>48307</w:t>
            </w:r>
          </w:p>
        </w:tc>
        <w:tc>
          <w:tcPr>
            <w:tcW w:w="860" w:type="dxa"/>
            <w:vAlign w:val="bottom"/>
          </w:tcPr>
          <w:p>
            <w:pPr>
              <w:spacing w:after="0"/>
              <w:rPr>
                <w:sz w:val="16"/>
                <w:szCs w:val="16"/>
                <w:color w:val="auto"/>
              </w:rPr>
            </w:pPr>
          </w:p>
        </w:tc>
      </w:tr>
      <w:tr>
        <w:trPr>
          <w:trHeight w:val="20"/>
        </w:trPr>
        <w:tc>
          <w:tcPr>
            <w:tcW w:w="182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tcBorders>
              <w:left w:val="single" w:sz="8" w:color="auto"/>
            </w:tcBorders>
            <w:gridSpan w:val="2"/>
          </w:tcPr>
          <w:p>
            <w:pPr>
              <w:spacing w:after="0" w:line="20" w:lineRule="exact"/>
              <w:rPr>
                <w:sz w:val="1"/>
                <w:szCs w:val="1"/>
                <w:color w:val="auto"/>
              </w:rPr>
            </w:pPr>
          </w:p>
        </w:tc>
      </w:tr>
      <w:tr>
        <w:trPr>
          <w:trHeight w:val="237"/>
        </w:trPr>
        <w:tc>
          <w:tcPr>
            <w:tcW w:w="4180" w:type="dxa"/>
            <w:vAlign w:val="bottom"/>
            <w:gridSpan w:val="8"/>
          </w:tcPr>
          <w:p>
            <w:pPr>
              <w:jc w:val="center"/>
              <w:ind w:left="410"/>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gridSpan w:val="4"/>
          </w:tcPr>
          <w:p>
            <w:pPr>
              <w:jc w:val="center"/>
              <w:ind w:right="900"/>
              <w:spacing w:after="0"/>
              <w:rPr>
                <w:sz w:val="20"/>
                <w:szCs w:val="20"/>
                <w:color w:val="auto"/>
              </w:rPr>
            </w:pPr>
            <w:r>
              <w:rPr>
                <w:rFonts w:ascii="Arial" w:cs="Arial" w:eastAsia="Arial" w:hAnsi="Arial"/>
                <w:sz w:val="18"/>
                <w:szCs w:val="18"/>
                <w:color w:val="auto"/>
                <w:w w:val="91"/>
              </w:rPr>
              <w:t>(Zip Code)</w:t>
            </w:r>
          </w:p>
        </w:tc>
      </w:tr>
      <w:tr>
        <w:trPr>
          <w:trHeight w:val="392"/>
        </w:trPr>
        <w:tc>
          <w:tcPr>
            <w:tcW w:w="4180" w:type="dxa"/>
            <w:vAlign w:val="bottom"/>
            <w:gridSpan w:val="8"/>
          </w:tcPr>
          <w:p>
            <w:pPr>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248-651-6568</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81"/>
        </w:trPr>
        <w:tc>
          <w:tcPr>
            <w:tcW w:w="4180" w:type="dxa"/>
            <w:vAlign w:val="bottom"/>
            <w:gridSpan w:val="8"/>
          </w:tcPr>
          <w:p>
            <w:pPr>
              <w:spacing w:after="0"/>
              <w:rPr>
                <w:sz w:val="20"/>
                <w:szCs w:val="20"/>
                <w:color w:val="auto"/>
              </w:rPr>
            </w:pPr>
            <w:r>
              <w:rPr>
                <w:rFonts w:ascii="Arial" w:cs="Arial" w:eastAsia="Arial" w:hAnsi="Arial"/>
                <w:sz w:val="18"/>
                <w:szCs w:val="18"/>
                <w:color w:val="auto"/>
              </w:rPr>
              <w:t>Securities  registered  under  Section  12(b)  of  the</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4180" w:type="dxa"/>
            <w:vAlign w:val="bottom"/>
            <w:gridSpan w:val="8"/>
          </w:tcPr>
          <w:p>
            <w:pPr>
              <w:spacing w:after="0"/>
              <w:rPr>
                <w:sz w:val="20"/>
                <w:szCs w:val="20"/>
                <w:color w:val="auto"/>
              </w:rPr>
            </w:pPr>
            <w:r>
              <w:rPr>
                <w:rFonts w:ascii="Arial" w:cs="Arial" w:eastAsia="Arial" w:hAnsi="Arial"/>
                <w:sz w:val="18"/>
                <w:szCs w:val="18"/>
                <w:color w:val="auto"/>
              </w:rPr>
              <w:t>Exchange Act:</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14"/>
        </w:trPr>
        <w:tc>
          <w:tcPr>
            <w:tcW w:w="4180" w:type="dxa"/>
            <w:vAlign w:val="bottom"/>
            <w:gridSpan w:val="8"/>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3460" w:type="dxa"/>
            <w:vAlign w:val="bottom"/>
            <w:gridSpan w:val="7"/>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4"/>
        </w:trPr>
        <w:tc>
          <w:tcPr>
            <w:tcW w:w="1820" w:type="dxa"/>
            <w:vAlign w:val="bottom"/>
          </w:tcPr>
          <w:p>
            <w:pPr>
              <w:spacing w:after="0"/>
              <w:rPr>
                <w:sz w:val="16"/>
                <w:szCs w:val="16"/>
                <w:color w:val="auto"/>
              </w:rPr>
            </w:pPr>
          </w:p>
        </w:tc>
        <w:tc>
          <w:tcPr>
            <w:tcW w:w="2360" w:type="dxa"/>
            <w:vAlign w:val="bottom"/>
            <w:gridSpan w:val="7"/>
          </w:tcPr>
          <w:p>
            <w:pPr>
              <w:jc w:val="center"/>
              <w:ind w:right="2000"/>
              <w:spacing w:after="0" w:line="194" w:lineRule="exact"/>
              <w:rPr>
                <w:sz w:val="20"/>
                <w:szCs w:val="20"/>
                <w:color w:val="auto"/>
              </w:rPr>
            </w:pPr>
            <w:r>
              <w:rPr>
                <w:rFonts w:ascii="Arial" w:cs="Arial" w:eastAsia="Arial" w:hAnsi="Arial"/>
                <w:sz w:val="18"/>
                <w:szCs w:val="18"/>
                <w:b w:val="1"/>
                <w:bCs w:val="1"/>
                <w:color w:val="auto"/>
                <w:w w:val="83"/>
              </w:rPr>
              <w:t>none</w:t>
            </w:r>
          </w:p>
        </w:tc>
        <w:tc>
          <w:tcPr>
            <w:tcW w:w="580" w:type="dxa"/>
            <w:vAlign w:val="bottom"/>
          </w:tcPr>
          <w:p>
            <w:pPr>
              <w:spacing w:after="0"/>
              <w:rPr>
                <w:sz w:val="16"/>
                <w:szCs w:val="16"/>
                <w:color w:val="auto"/>
              </w:rPr>
            </w:pPr>
          </w:p>
        </w:tc>
        <w:tc>
          <w:tcPr>
            <w:tcW w:w="2880" w:type="dxa"/>
            <w:vAlign w:val="bottom"/>
            <w:gridSpan w:val="6"/>
          </w:tcPr>
          <w:p>
            <w:pPr>
              <w:jc w:val="center"/>
              <w:ind w:right="440"/>
              <w:spacing w:after="0" w:line="194" w:lineRule="exact"/>
              <w:rPr>
                <w:sz w:val="20"/>
                <w:szCs w:val="20"/>
                <w:color w:val="auto"/>
              </w:rPr>
            </w:pPr>
            <w:r>
              <w:rPr>
                <w:rFonts w:ascii="Arial" w:cs="Arial" w:eastAsia="Arial" w:hAnsi="Arial"/>
                <w:sz w:val="18"/>
                <w:szCs w:val="18"/>
                <w:b w:val="1"/>
                <w:bCs w:val="1"/>
                <w:color w:val="auto"/>
                <w:w w:val="89"/>
              </w:rPr>
              <w:t>not applicable</w:t>
            </w:r>
          </w:p>
        </w:tc>
      </w:tr>
      <w:tr>
        <w:trPr>
          <w:trHeight w:val="20"/>
        </w:trPr>
        <w:tc>
          <w:tcPr>
            <w:tcW w:w="1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29" w:lineRule="exact"/>
        <w:rPr>
          <w:sz w:val="24"/>
          <w:szCs w:val="24"/>
          <w:color w:val="auto"/>
        </w:rPr>
      </w:pPr>
    </w:p>
    <w:p>
      <w:pPr>
        <w:ind w:left="1720"/>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 [ ] No [X]</w:t>
      </w:r>
    </w:p>
    <w:p>
      <w:pPr>
        <w:spacing w:after="0" w:line="252" w:lineRule="exact"/>
        <w:rPr>
          <w:sz w:val="24"/>
          <w:szCs w:val="24"/>
          <w:color w:val="auto"/>
        </w:rPr>
      </w:pPr>
    </w:p>
    <w:p>
      <w:pPr>
        <w:spacing w:after="0"/>
        <w:tabs>
          <w:tab w:leader="none" w:pos="9480" w:val="left"/>
        </w:tabs>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Arial" w:cs="Arial" w:eastAsia="Arial" w:hAnsi="Arial"/>
          <w:sz w:val="18"/>
          <w:szCs w:val="18"/>
          <w:b w:val="1"/>
          <w:bCs w:val="1"/>
          <w:color w:val="auto"/>
        </w:rPr>
        <w:t>Yes [ ]</w:t>
      </w:r>
      <w:r>
        <w:rPr>
          <w:sz w:val="20"/>
          <w:szCs w:val="20"/>
          <w:color w:val="auto"/>
        </w:rPr>
        <w:tab/>
      </w:r>
      <w:r>
        <w:rPr>
          <w:rFonts w:ascii="Arial" w:cs="Arial" w:eastAsia="Arial" w:hAnsi="Arial"/>
          <w:sz w:val="17"/>
          <w:szCs w:val="17"/>
          <w:b w:val="1"/>
          <w:bCs w:val="1"/>
          <w:color w:val="auto"/>
        </w:rPr>
        <w:t>No [X]</w:t>
      </w:r>
    </w:p>
    <w:p>
      <w:pPr>
        <w:spacing w:after="0" w:line="25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 [X] No [ ]</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w:t>
      </w:r>
      <w:r>
        <w:rPr>
          <w:rFonts w:ascii="Arial" w:cs="Arial" w:eastAsia="Arial" w:hAnsi="Arial"/>
          <w:sz w:val="18"/>
          <w:szCs w:val="18"/>
          <w:b w:val="1"/>
          <w:bCs w:val="1"/>
          <w:color w:val="auto"/>
        </w:rPr>
        <w:t>Yes [ ] No [X]</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 [ ] No [X]</w:t>
      </w:r>
    </w:p>
    <w:p>
      <w:pPr>
        <w:spacing w:after="0" w:line="20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Large accelerated filer [ ] Accelerated filer [ ] Non-accelerated filer [ ] Smaller reporting company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 [ ]  No [X]</w:t>
      </w:r>
    </w:p>
    <w:p>
      <w:pPr>
        <w:spacing w:after="0" w:line="256"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$5,401,247</w:t>
      </w:r>
    </w:p>
    <w:p>
      <w:pPr>
        <w:spacing w:after="0" w:line="204" w:lineRule="exact"/>
        <w:rPr>
          <w:sz w:val="24"/>
          <w:szCs w:val="24"/>
          <w:color w:val="auto"/>
        </w:rPr>
      </w:pPr>
    </w:p>
    <w:p>
      <w:pPr>
        <w:ind w:right="220"/>
        <w:spacing w:after="0" w:line="282" w:lineRule="auto"/>
        <w:rPr>
          <w:sz w:val="20"/>
          <w:szCs w:val="20"/>
          <w:color w:val="auto"/>
        </w:rPr>
      </w:pPr>
      <w:r>
        <w:rPr>
          <w:rFonts w:ascii="Arial" w:cs="Arial" w:eastAsia="Arial" w:hAnsi="Arial"/>
          <w:sz w:val="18"/>
          <w:szCs w:val="18"/>
          <w:color w:val="auto"/>
        </w:rPr>
        <w:t xml:space="preserve">Indicate the number of shares outstanding of each of the registrant’s classes of common stock, as of the latest practicable date. </w:t>
      </w:r>
      <w:r>
        <w:rPr>
          <w:rFonts w:ascii="Arial" w:cs="Arial" w:eastAsia="Arial" w:hAnsi="Arial"/>
          <w:sz w:val="18"/>
          <w:szCs w:val="18"/>
          <w:b w:val="1"/>
          <w:bCs w:val="1"/>
          <w:color w:val="auto"/>
        </w:rPr>
        <w:t>13,606,676 as of December</w:t>
      </w:r>
      <w:r>
        <w:rPr>
          <w:rFonts w:ascii="Arial" w:cs="Arial" w:eastAsia="Arial" w:hAnsi="Arial"/>
          <w:sz w:val="18"/>
          <w:szCs w:val="18"/>
          <w:color w:val="auto"/>
        </w:rPr>
        <w:t xml:space="preserve"> </w:t>
      </w:r>
      <w:r>
        <w:rPr>
          <w:rFonts w:ascii="Arial" w:cs="Arial" w:eastAsia="Arial" w:hAnsi="Arial"/>
          <w:sz w:val="18"/>
          <w:szCs w:val="18"/>
          <w:b w:val="1"/>
          <w:bCs w:val="1"/>
          <w:color w:val="auto"/>
        </w:rPr>
        <w:t>31, 2010.</w:t>
      </w:r>
    </w:p>
    <w:p>
      <w:pPr>
        <w:sectPr>
          <w:pgSz w:w="11900" w:h="16838" w:orient="portrait"/>
          <w:cols w:equalWidth="0" w:num="1">
            <w:col w:w="11420"/>
          </w:cols>
          <w:pgMar w:left="240" w:top="233" w:right="239" w:bottom="54" w:gutter="0" w:footer="0" w:header="0"/>
        </w:sectPr>
      </w:pPr>
    </w:p>
    <w:bookmarkStart w:id="1" w:name="page2"/>
    <w:bookmarkEnd w:id="1"/>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EXPLANATORY NOTE</w:t>
      </w:r>
    </w:p>
    <w:p>
      <w:pPr>
        <w:spacing w:after="0" w:line="24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purpose of this Amendment No.1 to the Annual Report on Form 10-K, previously filed with the United States Securities and Exchange Commission on March 31, 2011, is tocorrect an error made in the Summary Compensation Table in the Executive Compensation section of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04" w:right="41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4"/>
          </w:tcPr>
          <w:p>
            <w:pPr>
              <w:jc w:val="center"/>
              <w:ind w:right="236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8"/>
            <w:vMerge w:val="restart"/>
          </w:tcPr>
          <w:p>
            <w:pPr>
              <w:jc w:val="center"/>
              <w:ind w:right="700"/>
              <w:spacing w:after="0"/>
              <w:rPr>
                <w:sz w:val="20"/>
                <w:szCs w:val="20"/>
                <w:color w:val="auto"/>
              </w:rPr>
            </w:pPr>
            <w:r>
              <w:rPr>
                <w:rFonts w:ascii="Arial" w:cs="Arial" w:eastAsia="Arial" w:hAnsi="Arial"/>
                <w:sz w:val="18"/>
                <w:szCs w:val="18"/>
                <w:color w:val="auto"/>
                <w:w w:val="92"/>
              </w:rPr>
              <w:t>PART I</w:t>
            </w:r>
          </w:p>
        </w:tc>
        <w:tc>
          <w:tcPr>
            <w:tcW w:w="2380" w:type="dxa"/>
            <w:vAlign w:val="bottom"/>
            <w:gridSpan w:val="6"/>
            <w:vMerge w:val="restart"/>
          </w:tcPr>
          <w:p>
            <w:pPr>
              <w:spacing w:after="0"/>
              <w:rPr>
                <w:sz w:val="24"/>
                <w:szCs w:val="24"/>
                <w:color w:val="auto"/>
              </w:rPr>
            </w:pPr>
          </w:p>
        </w:tc>
        <w:tc>
          <w:tcPr>
            <w:tcW w:w="640" w:type="dxa"/>
            <w:vAlign w:val="bottom"/>
            <w:gridSpan w:val="7"/>
          </w:tcPr>
          <w:p>
            <w:pPr>
              <w:ind w:left="100"/>
              <w:spacing w:after="0"/>
              <w:rPr>
                <w:sz w:val="20"/>
                <w:szCs w:val="20"/>
                <w:color w:val="auto"/>
              </w:rPr>
            </w:pPr>
            <w:r>
              <w:rPr>
                <w:rFonts w:ascii="Arial" w:cs="Arial" w:eastAsia="Arial" w:hAnsi="Arial"/>
                <w:sz w:val="18"/>
                <w:szCs w:val="18"/>
                <w:color w:val="auto"/>
              </w:rPr>
              <w:t>Page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top w:val="single" w:sz="8" w:color="auto"/>
            </w:tcBorders>
            <w:gridSpan w:val="8"/>
            <w:vMerge w:val="continue"/>
          </w:tcPr>
          <w:p>
            <w:pPr>
              <w:spacing w:after="0"/>
              <w:rPr>
                <w:sz w:val="17"/>
                <w:szCs w:val="17"/>
                <w:color w:val="auto"/>
              </w:rPr>
            </w:pPr>
          </w:p>
        </w:tc>
        <w:tc>
          <w:tcPr>
            <w:tcW w:w="238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120" w:type="dxa"/>
            <w:vAlign w:val="bottom"/>
            <w:gridSpan w:val="2"/>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60" w:type="dxa"/>
            <w:vAlign w:val="bottom"/>
            <w:gridSpan w:val="5"/>
            <w:shd w:val="clear" w:color="auto" w:fill="CCEEFF"/>
          </w:tcPr>
          <w:p>
            <w:pPr>
              <w:jc w:val="center"/>
              <w:ind w:left="90"/>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Item 1A.</w:t>
              </w:r>
            </w:hyperlink>
          </w:p>
        </w:tc>
        <w:tc>
          <w:tcPr>
            <w:tcW w:w="900" w:type="dxa"/>
            <w:vAlign w:val="bottom"/>
          </w:tcPr>
          <w:p>
            <w:pPr>
              <w:spacing w:after="0"/>
              <w:rPr>
                <w:sz w:val="15"/>
                <w:szCs w:val="15"/>
                <w:color w:val="auto"/>
              </w:rPr>
            </w:pPr>
          </w:p>
        </w:tc>
        <w:tc>
          <w:tcPr>
            <w:tcW w:w="5800" w:type="dxa"/>
            <w:vAlign w:val="bottom"/>
            <w:gridSpan w:val="31"/>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60" w:type="dxa"/>
            <w:vAlign w:val="bottom"/>
            <w:gridSpan w:val="5"/>
          </w:tcPr>
          <w:p>
            <w:pPr>
              <w:jc w:val="center"/>
              <w:ind w:left="90"/>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Item 1B.</w:t>
              </w:r>
            </w:hyperlink>
          </w:p>
        </w:tc>
        <w:tc>
          <w:tcPr>
            <w:tcW w:w="900" w:type="dxa"/>
            <w:vAlign w:val="bottom"/>
            <w:shd w:val="clear" w:color="auto" w:fill="CCEEFF"/>
          </w:tcPr>
          <w:p>
            <w:pPr>
              <w:spacing w:after="0"/>
              <w:rPr>
                <w:sz w:val="17"/>
                <w:szCs w:val="17"/>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360" w:type="dxa"/>
            <w:vAlign w:val="bottom"/>
            <w:gridSpan w:val="5"/>
            <w:shd w:val="clear" w:color="auto" w:fill="CCEEFF"/>
          </w:tcPr>
          <w:p>
            <w:pPr>
              <w:jc w:val="center"/>
              <w:ind w:left="90"/>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64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900" w:type="dxa"/>
            <w:vAlign w:val="bottom"/>
            <w:tcBorders>
              <w:top w:val="single" w:sz="8" w:color="CCEEFF"/>
            </w:tcBorders>
          </w:tcPr>
          <w:p>
            <w:pPr>
              <w:spacing w:after="0"/>
              <w:rPr>
                <w:sz w:val="15"/>
                <w:szCs w:val="15"/>
                <w:color w:val="auto"/>
              </w:rPr>
            </w:pPr>
          </w:p>
        </w:tc>
        <w:tc>
          <w:tcPr>
            <w:tcW w:w="204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3760" w:type="dxa"/>
            <w:vAlign w:val="bottom"/>
            <w:tcBorders>
              <w:top w:val="single" w:sz="8" w:color="CCEEFF"/>
            </w:tcBorders>
            <w:gridSpan w:val="18"/>
          </w:tcPr>
          <w:p>
            <w:pPr>
              <w:spacing w:after="0"/>
              <w:rPr>
                <w:sz w:val="15"/>
                <w:szCs w:val="15"/>
                <w:color w:val="auto"/>
              </w:rPr>
            </w:pPr>
          </w:p>
        </w:tc>
        <w:tc>
          <w:tcPr>
            <w:tcW w:w="18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3.</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Legal Proceedings</w:t>
              </w:r>
            </w:hyperlink>
          </w:p>
        </w:tc>
        <w:tc>
          <w:tcPr>
            <w:tcW w:w="4460" w:type="dxa"/>
            <w:vAlign w:val="bottom"/>
            <w:tcBorders>
              <w:bottom w:val="single" w:sz="8" w:color="CCEEFF"/>
            </w:tcBorders>
            <w:gridSpan w:val="25"/>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4.</w:t>
              </w:r>
            </w:hyperlink>
          </w:p>
        </w:tc>
        <w:tc>
          <w:tcPr>
            <w:tcW w:w="900" w:type="dxa"/>
            <w:vAlign w:val="bottom"/>
          </w:tcPr>
          <w:p>
            <w:pPr>
              <w:spacing w:after="0"/>
              <w:rPr>
                <w:sz w:val="15"/>
                <w:szCs w:val="15"/>
                <w:color w:val="auto"/>
              </w:rPr>
            </w:pPr>
          </w:p>
        </w:tc>
        <w:tc>
          <w:tcPr>
            <w:tcW w:w="5800" w:type="dxa"/>
            <w:vAlign w:val="bottom"/>
            <w:gridSpan w:val="31"/>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(Removed and Reserved)</w:t>
              </w:r>
            </w:hyperlink>
          </w:p>
        </w:tc>
        <w:tc>
          <w:tcPr>
            <w:tcW w:w="360" w:type="dxa"/>
            <w:vAlign w:val="bottom"/>
            <w:gridSpan w:val="5"/>
          </w:tcPr>
          <w:p>
            <w:pPr>
              <w:jc w:val="center"/>
              <w:ind w:left="90"/>
              <w:spacing w:after="0" w:line="17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11</w:t>
              </w:r>
            </w:hyperlink>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40" w:type="dxa"/>
            <w:vAlign w:val="bottom"/>
            <w:gridSpan w:val="15"/>
          </w:tcPr>
          <w:p>
            <w:pPr>
              <w:jc w:val="center"/>
              <w:ind w:right="3040"/>
              <w:spacing w:after="0" w:line="196" w:lineRule="exact"/>
              <w:rPr>
                <w:sz w:val="20"/>
                <w:szCs w:val="20"/>
                <w:color w:val="auto"/>
              </w:rPr>
            </w:pPr>
            <w:r>
              <w:rPr>
                <w:rFonts w:ascii="Arial" w:cs="Arial" w:eastAsia="Arial" w:hAnsi="Arial"/>
                <w:sz w:val="18"/>
                <w:szCs w:val="18"/>
                <w:color w:val="auto"/>
                <w:w w:val="95"/>
              </w:rPr>
              <w:t>PART II</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70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Market for Registrant’s Common Equity and Related Stockholder Matters and</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shd w:val="clear" w:color="auto" w:fill="CCEEFF"/>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5.</w:t>
              </w:r>
            </w:hyperlink>
          </w:p>
        </w:tc>
        <w:tc>
          <w:tcPr>
            <w:tcW w:w="12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80" w:type="dxa"/>
            <w:vAlign w:val="bottom"/>
            <w:gridSpan w:val="18"/>
            <w:shd w:val="clear" w:color="auto" w:fill="CCEEFF"/>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Issuer Purchases of Equity Securities</w:t>
              </w:r>
            </w:hyperlink>
          </w:p>
        </w:tc>
        <w:tc>
          <w:tcPr>
            <w:tcW w:w="3120" w:type="dxa"/>
            <w:vAlign w:val="bottom"/>
            <w:gridSpan w:val="13"/>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80"/>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520" w:type="dxa"/>
            <w:vAlign w:val="bottom"/>
          </w:tcPr>
          <w:p>
            <w:pPr>
              <w:spacing w:after="0" w:line="17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6.</w:t>
              </w:r>
            </w:hyperlink>
          </w:p>
        </w:tc>
        <w:tc>
          <w:tcPr>
            <w:tcW w:w="12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2680" w:type="dxa"/>
            <w:vAlign w:val="bottom"/>
            <w:gridSpan w:val="18"/>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Selected Financial Data</w:t>
              </w:r>
            </w:hyperlink>
          </w:p>
        </w:tc>
        <w:tc>
          <w:tcPr>
            <w:tcW w:w="3120" w:type="dxa"/>
            <w:vAlign w:val="bottom"/>
            <w:gridSpan w:val="13"/>
          </w:tcPr>
          <w:p>
            <w:pPr>
              <w:spacing w:after="0"/>
              <w:rPr>
                <w:sz w:val="15"/>
                <w:szCs w:val="15"/>
                <w:color w:val="auto"/>
              </w:rPr>
            </w:pPr>
          </w:p>
        </w:tc>
        <w:tc>
          <w:tcPr>
            <w:tcW w:w="180" w:type="dxa"/>
            <w:vAlign w:val="bottom"/>
            <w:gridSpan w:val="2"/>
          </w:tcPr>
          <w:p>
            <w:pPr>
              <w:spacing w:after="0"/>
              <w:rPr>
                <w:sz w:val="15"/>
                <w:szCs w:val="15"/>
                <w:color w:val="auto"/>
              </w:rPr>
            </w:pPr>
          </w:p>
        </w:tc>
        <w:tc>
          <w:tcPr>
            <w:tcW w:w="260" w:type="dxa"/>
            <w:vAlign w:val="bottom"/>
            <w:gridSpan w:val="4"/>
          </w:tcPr>
          <w:p>
            <w:pPr>
              <w:jc w:val="center"/>
              <w:ind w:right="80"/>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72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Management’s Discussion and Analysis of Financial Condition and Results of</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shd w:val="clear" w:color="auto" w:fill="CCEEFF"/>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7.</w:t>
              </w:r>
            </w:hyperlink>
          </w:p>
        </w:tc>
        <w:tc>
          <w:tcPr>
            <w:tcW w:w="12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Operations</w:t>
              </w:r>
            </w:hyperlink>
          </w:p>
        </w:tc>
        <w:tc>
          <w:tcPr>
            <w:tcW w:w="5000" w:type="dxa"/>
            <w:vAlign w:val="bottom"/>
            <w:gridSpan w:val="28"/>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8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7A.</w:t>
              </w:r>
            </w:hyperlink>
          </w:p>
        </w:tc>
        <w:tc>
          <w:tcPr>
            <w:tcW w:w="900" w:type="dxa"/>
            <w:vAlign w:val="bottom"/>
          </w:tcPr>
          <w:p>
            <w:pPr>
              <w:spacing w:after="0"/>
              <w:rPr>
                <w:sz w:val="15"/>
                <w:szCs w:val="15"/>
                <w:color w:val="auto"/>
              </w:rPr>
            </w:pPr>
          </w:p>
        </w:tc>
        <w:tc>
          <w:tcPr>
            <w:tcW w:w="5800" w:type="dxa"/>
            <w:vAlign w:val="bottom"/>
            <w:gridSpan w:val="31"/>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440" w:type="dxa"/>
            <w:vAlign w:val="bottom"/>
            <w:gridSpan w:val="6"/>
          </w:tcPr>
          <w:p>
            <w:pPr>
              <w:jc w:val="center"/>
              <w:ind w:left="1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8.</w:t>
              </w:r>
            </w:hyperlink>
          </w:p>
        </w:tc>
        <w:tc>
          <w:tcPr>
            <w:tcW w:w="120" w:type="dxa"/>
            <w:vAlign w:val="bottom"/>
            <w:gridSpan w:val="2"/>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340" w:type="dxa"/>
            <w:vAlign w:val="bottom"/>
            <w:gridSpan w:val="24"/>
            <w:shd w:val="clear" w:color="auto" w:fill="CCEEFF"/>
          </w:tcPr>
          <w:p>
            <w:pPr>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Financial Statements and Supplementary Data</w:t>
              </w:r>
            </w:hyperlink>
          </w:p>
        </w:tc>
        <w:tc>
          <w:tcPr>
            <w:tcW w:w="2460" w:type="dxa"/>
            <w:vAlign w:val="bottom"/>
            <w:gridSpan w:val="7"/>
            <w:shd w:val="clear" w:color="auto" w:fill="CCEEFF"/>
          </w:tcPr>
          <w:p>
            <w:pPr>
              <w:spacing w:after="0"/>
              <w:rPr>
                <w:sz w:val="15"/>
                <w:szCs w:val="15"/>
                <w:color w:val="auto"/>
              </w:rPr>
            </w:pPr>
          </w:p>
        </w:tc>
        <w:tc>
          <w:tcPr>
            <w:tcW w:w="180" w:type="dxa"/>
            <w:vAlign w:val="bottom"/>
            <w:gridSpan w:val="2"/>
            <w:shd w:val="clear" w:color="auto" w:fill="CCEEFF"/>
          </w:tcPr>
          <w:p>
            <w:pPr>
              <w:spacing w:after="0"/>
              <w:rPr>
                <w:sz w:val="15"/>
                <w:szCs w:val="15"/>
                <w:color w:val="auto"/>
              </w:rPr>
            </w:pPr>
          </w:p>
        </w:tc>
        <w:tc>
          <w:tcPr>
            <w:tcW w:w="260" w:type="dxa"/>
            <w:vAlign w:val="bottom"/>
            <w:gridSpan w:val="4"/>
            <w:shd w:val="clear" w:color="auto" w:fill="CCEEFF"/>
          </w:tcPr>
          <w:p>
            <w:pPr>
              <w:jc w:val="center"/>
              <w:ind w:right="8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2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720" w:type="dxa"/>
            <w:vAlign w:val="bottom"/>
            <w:tcBorders>
              <w:bottom w:val="single" w:sz="8" w:color="0000EE"/>
            </w:tcBorders>
            <w:gridSpan w:val="30"/>
          </w:tcPr>
          <w:p>
            <w:pPr>
              <w:spacing w:after="0" w:line="17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Changes  In  and  Disagreements  With  Accountants  on  Accounting  and</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60" w:type="dxa"/>
            <w:vAlign w:val="bottom"/>
            <w:gridSpan w:val="4"/>
          </w:tcPr>
          <w:p>
            <w:pPr>
              <w:ind w:left="17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9.</w:t>
              </w:r>
            </w:hyperlink>
          </w:p>
        </w:tc>
        <w:tc>
          <w:tcPr>
            <w:tcW w:w="900" w:type="dxa"/>
            <w:vAlign w:val="bottom"/>
          </w:tcPr>
          <w:p>
            <w:pPr>
              <w:spacing w:after="0"/>
              <w:rPr>
                <w:sz w:val="17"/>
                <w:szCs w:val="17"/>
                <w:color w:val="auto"/>
              </w:rPr>
            </w:pPr>
          </w:p>
        </w:tc>
        <w:tc>
          <w:tcPr>
            <w:tcW w:w="5800" w:type="dxa"/>
            <w:vAlign w:val="bottom"/>
            <w:gridSpan w:val="3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Financial Disclosure</w:t>
              </w:r>
            </w:hyperlink>
          </w:p>
        </w:tc>
        <w:tc>
          <w:tcPr>
            <w:tcW w:w="440" w:type="dxa"/>
            <w:vAlign w:val="bottom"/>
            <w:gridSpan w:val="6"/>
          </w:tcPr>
          <w:p>
            <w:pPr>
              <w:jc w:val="center"/>
              <w:ind w:left="1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21</w:t>
              </w:r>
            </w:hyperlink>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9A.</w:t>
              </w:r>
            </w:hyperlink>
          </w:p>
        </w:tc>
        <w:tc>
          <w:tcPr>
            <w:tcW w:w="900" w:type="dxa"/>
            <w:vAlign w:val="bottom"/>
            <w:shd w:val="clear" w:color="auto" w:fill="CCEEFF"/>
          </w:tcPr>
          <w:p>
            <w:pPr>
              <w:spacing w:after="0"/>
              <w:rPr>
                <w:sz w:val="15"/>
                <w:szCs w:val="15"/>
                <w:color w:val="auto"/>
              </w:rPr>
            </w:pPr>
          </w:p>
        </w:tc>
        <w:tc>
          <w:tcPr>
            <w:tcW w:w="1780" w:type="dxa"/>
            <w:vAlign w:val="bottom"/>
            <w:gridSpan w:val="10"/>
            <w:shd w:val="clear" w:color="auto" w:fill="CCEEFF"/>
          </w:tcPr>
          <w:p>
            <w:pPr>
              <w:spacing w:after="0" w:line="17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4020" w:type="dxa"/>
            <w:vAlign w:val="bottom"/>
            <w:gridSpan w:val="21"/>
            <w:shd w:val="clear" w:color="auto" w:fill="CCEEFF"/>
          </w:tcPr>
          <w:p>
            <w:pPr>
              <w:spacing w:after="0"/>
              <w:rPr>
                <w:sz w:val="15"/>
                <w:szCs w:val="15"/>
                <w:color w:val="auto"/>
              </w:rPr>
            </w:pPr>
          </w:p>
        </w:tc>
        <w:tc>
          <w:tcPr>
            <w:tcW w:w="180" w:type="dxa"/>
            <w:vAlign w:val="bottom"/>
            <w:gridSpan w:val="2"/>
            <w:shd w:val="clear" w:color="auto" w:fill="CCEEFF"/>
          </w:tcPr>
          <w:p>
            <w:pPr>
              <w:spacing w:after="0"/>
              <w:rPr>
                <w:sz w:val="15"/>
                <w:szCs w:val="15"/>
                <w:color w:val="auto"/>
              </w:rPr>
            </w:pPr>
          </w:p>
        </w:tc>
        <w:tc>
          <w:tcPr>
            <w:tcW w:w="260" w:type="dxa"/>
            <w:vAlign w:val="bottom"/>
            <w:gridSpan w:val="4"/>
            <w:shd w:val="clear" w:color="auto" w:fill="CCEEFF"/>
          </w:tcPr>
          <w:p>
            <w:pPr>
              <w:jc w:val="center"/>
              <w:ind w:right="80"/>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21</w:t>
              </w:r>
            </w:hyperlink>
          </w:p>
        </w:tc>
        <w:tc>
          <w:tcPr>
            <w:tcW w:w="2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9B.</w:t>
              </w:r>
            </w:hyperlink>
          </w:p>
        </w:tc>
        <w:tc>
          <w:tcPr>
            <w:tcW w:w="900" w:type="dxa"/>
            <w:vAlign w:val="bottom"/>
          </w:tcPr>
          <w:p>
            <w:pPr>
              <w:spacing w:after="0"/>
              <w:rPr>
                <w:sz w:val="15"/>
                <w:szCs w:val="15"/>
                <w:color w:val="auto"/>
              </w:rPr>
            </w:pPr>
          </w:p>
        </w:tc>
        <w:tc>
          <w:tcPr>
            <w:tcW w:w="1780" w:type="dxa"/>
            <w:vAlign w:val="bottom"/>
            <w:gridSpan w:val="10"/>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4020" w:type="dxa"/>
            <w:vAlign w:val="bottom"/>
            <w:gridSpan w:val="21"/>
          </w:tcPr>
          <w:p>
            <w:pPr>
              <w:spacing w:after="0"/>
              <w:rPr>
                <w:sz w:val="15"/>
                <w:szCs w:val="15"/>
                <w:color w:val="auto"/>
              </w:rPr>
            </w:pPr>
          </w:p>
        </w:tc>
        <w:tc>
          <w:tcPr>
            <w:tcW w:w="180" w:type="dxa"/>
            <w:vAlign w:val="bottom"/>
            <w:gridSpan w:val="2"/>
          </w:tcPr>
          <w:p>
            <w:pPr>
              <w:spacing w:after="0"/>
              <w:rPr>
                <w:sz w:val="15"/>
                <w:szCs w:val="15"/>
                <w:color w:val="auto"/>
              </w:rPr>
            </w:pPr>
          </w:p>
        </w:tc>
        <w:tc>
          <w:tcPr>
            <w:tcW w:w="260" w:type="dxa"/>
            <w:vAlign w:val="bottom"/>
            <w:gridSpan w:val="4"/>
          </w:tcPr>
          <w:p>
            <w:pPr>
              <w:jc w:val="center"/>
              <w:ind w:right="80"/>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21</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80" w:type="dxa"/>
            <w:vAlign w:val="bottom"/>
            <w:gridSpan w:val="16"/>
          </w:tcPr>
          <w:p>
            <w:pPr>
              <w:jc w:val="center"/>
              <w:ind w:right="3020"/>
              <w:spacing w:after="0" w:line="196" w:lineRule="exact"/>
              <w:rPr>
                <w:sz w:val="20"/>
                <w:szCs w:val="20"/>
                <w:color w:val="auto"/>
              </w:rPr>
            </w:pPr>
            <w:r>
              <w:rPr>
                <w:rFonts w:ascii="Arial" w:cs="Arial" w:eastAsia="Arial" w:hAnsi="Arial"/>
                <w:sz w:val="18"/>
                <w:szCs w:val="18"/>
                <w:color w:val="auto"/>
                <w:w w:val="96"/>
              </w:rPr>
              <w:t>PART III</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Item 10.</w:t>
              </w:r>
            </w:hyperlink>
          </w:p>
        </w:tc>
        <w:tc>
          <w:tcPr>
            <w:tcW w:w="900" w:type="dxa"/>
            <w:vAlign w:val="bottom"/>
            <w:shd w:val="clear" w:color="auto" w:fill="CCEEFF"/>
          </w:tcPr>
          <w:p>
            <w:pPr>
              <w:spacing w:after="0"/>
              <w:rPr>
                <w:sz w:val="15"/>
                <w:szCs w:val="15"/>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Directors, Executive Officers and Corporate Governance</w:t>
              </w:r>
            </w:hyperlink>
          </w:p>
        </w:tc>
        <w:tc>
          <w:tcPr>
            <w:tcW w:w="440" w:type="dxa"/>
            <w:vAlign w:val="bottom"/>
            <w:gridSpan w:val="6"/>
            <w:shd w:val="clear" w:color="auto" w:fill="CCEEFF"/>
          </w:tcPr>
          <w:p>
            <w:pPr>
              <w:jc w:val="center"/>
              <w:ind w:left="10"/>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22</w:t>
              </w:r>
            </w:hyperlink>
          </w:p>
        </w:tc>
        <w:tc>
          <w:tcPr>
            <w:tcW w:w="20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00" w:type="dxa"/>
            <w:vAlign w:val="bottom"/>
            <w:gridSpan w:val="2"/>
          </w:tcPr>
          <w:p>
            <w:pPr>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11.</w:t>
              </w:r>
            </w:hyperlink>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100" w:type="dxa"/>
            <w:vAlign w:val="bottom"/>
            <w:gridSpan w:val="26"/>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1700" w:type="dxa"/>
            <w:vAlign w:val="bottom"/>
            <w:gridSpan w:val="5"/>
          </w:tcPr>
          <w:p>
            <w:pPr>
              <w:spacing w:after="0"/>
              <w:rPr>
                <w:sz w:val="15"/>
                <w:szCs w:val="15"/>
                <w:color w:val="auto"/>
              </w:rPr>
            </w:pPr>
          </w:p>
        </w:tc>
        <w:tc>
          <w:tcPr>
            <w:tcW w:w="180" w:type="dxa"/>
            <w:vAlign w:val="bottom"/>
            <w:gridSpan w:val="2"/>
          </w:tcPr>
          <w:p>
            <w:pPr>
              <w:spacing w:after="0"/>
              <w:rPr>
                <w:sz w:val="15"/>
                <w:szCs w:val="15"/>
                <w:color w:val="auto"/>
              </w:rPr>
            </w:pPr>
          </w:p>
        </w:tc>
        <w:tc>
          <w:tcPr>
            <w:tcW w:w="260" w:type="dxa"/>
            <w:vAlign w:val="bottom"/>
            <w:gridSpan w:val="4"/>
          </w:tcPr>
          <w:p>
            <w:pPr>
              <w:jc w:val="center"/>
              <w:ind w:right="80"/>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25</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70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Security Ownership of Certain Beneficial Owners and Management and</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640" w:type="dxa"/>
            <w:vAlign w:val="bottom"/>
            <w:gridSpan w:val="3"/>
            <w:shd w:val="clear" w:color="auto" w:fill="CCEEFF"/>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Item 12.</w:t>
              </w:r>
            </w:hyperlink>
          </w:p>
        </w:tc>
        <w:tc>
          <w:tcPr>
            <w:tcW w:w="900" w:type="dxa"/>
            <w:vAlign w:val="bottom"/>
            <w:shd w:val="clear" w:color="auto" w:fill="CCEEFF"/>
          </w:tcPr>
          <w:p>
            <w:pPr>
              <w:spacing w:after="0"/>
              <w:rPr>
                <w:sz w:val="17"/>
                <w:szCs w:val="17"/>
                <w:color w:val="auto"/>
              </w:rPr>
            </w:pPr>
          </w:p>
        </w:tc>
        <w:tc>
          <w:tcPr>
            <w:tcW w:w="5800" w:type="dxa"/>
            <w:vAlign w:val="bottom"/>
            <w:gridSpan w:val="31"/>
            <w:shd w:val="clear" w:color="auto" w:fill="CCEEFF"/>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Related Stockholder Matters</w:t>
              </w:r>
            </w:hyperlink>
          </w:p>
        </w:tc>
        <w:tc>
          <w:tcPr>
            <w:tcW w:w="440" w:type="dxa"/>
            <w:vAlign w:val="bottom"/>
            <w:gridSpan w:val="6"/>
            <w:shd w:val="clear" w:color="auto" w:fill="CCEEFF"/>
          </w:tcPr>
          <w:p>
            <w:pPr>
              <w:jc w:val="center"/>
              <w:ind w:left="10"/>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27</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vMerge w:val="continue"/>
          </w:tcPr>
          <w:p>
            <w:pPr>
              <w:spacing w:after="0"/>
              <w:rPr>
                <w:sz w:val="15"/>
                <w:szCs w:val="15"/>
                <w:color w:val="auto"/>
              </w:rPr>
            </w:pPr>
          </w:p>
        </w:tc>
        <w:tc>
          <w:tcPr>
            <w:tcW w:w="640" w:type="dxa"/>
            <w:vAlign w:val="bottom"/>
            <w:gridSpan w:val="3"/>
          </w:tcPr>
          <w:p>
            <w:pPr>
              <w:spacing w:after="0" w:line="17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Item 13.</w:t>
              </w:r>
            </w:hyperlink>
          </w:p>
        </w:tc>
        <w:tc>
          <w:tcPr>
            <w:tcW w:w="900" w:type="dxa"/>
            <w:vAlign w:val="bottom"/>
          </w:tcPr>
          <w:p>
            <w:pPr>
              <w:spacing w:after="0"/>
              <w:rPr>
                <w:sz w:val="15"/>
                <w:szCs w:val="15"/>
                <w:color w:val="auto"/>
              </w:rPr>
            </w:pPr>
          </w:p>
        </w:tc>
        <w:tc>
          <w:tcPr>
            <w:tcW w:w="5800" w:type="dxa"/>
            <w:vAlign w:val="bottom"/>
            <w:gridSpan w:val="31"/>
          </w:tcPr>
          <w:p>
            <w:pPr>
              <w:spacing w:after="0" w:line="17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Certain Relationships and Related Transactions, and Director Independence</w:t>
              </w:r>
            </w:hyperlink>
          </w:p>
        </w:tc>
        <w:tc>
          <w:tcPr>
            <w:tcW w:w="440" w:type="dxa"/>
            <w:vAlign w:val="bottom"/>
            <w:gridSpan w:val="6"/>
          </w:tcPr>
          <w:p>
            <w:pPr>
              <w:jc w:val="center"/>
              <w:ind w:left="10"/>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28</w:t>
              </w:r>
            </w:hyperlink>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Item 14.</w:t>
              </w:r>
            </w:hyperlink>
          </w:p>
        </w:tc>
        <w:tc>
          <w:tcPr>
            <w:tcW w:w="900" w:type="dxa"/>
            <w:vAlign w:val="bottom"/>
            <w:shd w:val="clear" w:color="auto" w:fill="CCEEFF"/>
          </w:tcPr>
          <w:p>
            <w:pPr>
              <w:spacing w:after="0"/>
              <w:rPr>
                <w:sz w:val="17"/>
                <w:szCs w:val="17"/>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Principal Accountant Fees and Services</w:t>
              </w:r>
            </w:hyperlink>
          </w:p>
        </w:tc>
        <w:tc>
          <w:tcPr>
            <w:tcW w:w="440" w:type="dxa"/>
            <w:vAlign w:val="bottom"/>
            <w:gridSpan w:val="6"/>
            <w:shd w:val="clear" w:color="auto" w:fill="CCEEFF"/>
          </w:tcPr>
          <w:p>
            <w:pPr>
              <w:jc w:val="center"/>
              <w:ind w:left="10"/>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28</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gridSpan w:val="7"/>
          </w:tcPr>
          <w:p>
            <w:pPr>
              <w:jc w:val="center"/>
              <w:ind w:right="80"/>
              <w:spacing w:after="0" w:line="176" w:lineRule="exact"/>
              <w:rPr>
                <w:sz w:val="20"/>
                <w:szCs w:val="20"/>
                <w:color w:val="auto"/>
              </w:rPr>
            </w:pPr>
            <w:r>
              <w:rPr>
                <w:rFonts w:ascii="Arial" w:cs="Arial" w:eastAsia="Arial" w:hAnsi="Arial"/>
                <w:sz w:val="18"/>
                <w:szCs w:val="18"/>
                <w:color w:val="auto"/>
                <w:w w:val="94"/>
              </w:rPr>
              <w:t>PART IV</w:t>
            </w:r>
          </w:p>
        </w:tc>
        <w:tc>
          <w:tcPr>
            <w:tcW w:w="2940" w:type="dxa"/>
            <w:vAlign w:val="bottom"/>
            <w:tcBorders>
              <w:top w:val="single" w:sz="8" w:color="CCEEFF"/>
            </w:tcBorders>
            <w:gridSpan w:val="9"/>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640" w:type="dxa"/>
            <w:vAlign w:val="bottom"/>
            <w:gridSpan w:val="3"/>
            <w:shd w:val="clear" w:color="auto" w:fill="CCEEFF"/>
          </w:tcPr>
          <w:p>
            <w:pPr>
              <w:spacing w:after="0" w:line="17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Item 15.</w:t>
              </w:r>
            </w:hyperlink>
          </w:p>
        </w:tc>
        <w:tc>
          <w:tcPr>
            <w:tcW w:w="900" w:type="dxa"/>
            <w:vAlign w:val="bottom"/>
            <w:shd w:val="clear" w:color="auto" w:fill="CCEEFF"/>
          </w:tcPr>
          <w:p>
            <w:pPr>
              <w:spacing w:after="0"/>
              <w:rPr>
                <w:sz w:val="17"/>
                <w:szCs w:val="17"/>
                <w:color w:val="auto"/>
              </w:rPr>
            </w:pPr>
          </w:p>
        </w:tc>
        <w:tc>
          <w:tcPr>
            <w:tcW w:w="5800" w:type="dxa"/>
            <w:vAlign w:val="bottom"/>
            <w:gridSpan w:val="31"/>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Exhibits, Financial Statement Schedules</w:t>
              </w:r>
            </w:hyperlink>
          </w:p>
        </w:tc>
        <w:tc>
          <w:tcPr>
            <w:tcW w:w="440" w:type="dxa"/>
            <w:vAlign w:val="bottom"/>
            <w:gridSpan w:val="6"/>
            <w:shd w:val="clear" w:color="auto" w:fill="CCEEFF"/>
          </w:tcPr>
          <w:p>
            <w:pPr>
              <w:jc w:val="center"/>
              <w:ind w:left="1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29</w:t>
              </w:r>
            </w:hyperlink>
          </w:p>
        </w:tc>
        <w:tc>
          <w:tcPr>
            <w:tcW w:w="20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17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680" w:type="dxa"/>
            <w:vAlign w:val="bottom"/>
            <w:tcBorders>
              <w:top w:val="single" w:sz="8" w:color="0000EE"/>
            </w:tcBorders>
            <w:gridSpan w:val="18"/>
          </w:tcPr>
          <w:p>
            <w:pPr>
              <w:jc w:val="center"/>
              <w:ind w:left="2130"/>
              <w:spacing w:after="0"/>
              <w:rPr>
                <w:sz w:val="20"/>
                <w:szCs w:val="20"/>
                <w:color w:val="auto"/>
              </w:rPr>
            </w:pPr>
            <w:r>
              <w:rPr>
                <w:rFonts w:ascii="Arial" w:cs="Arial" w:eastAsia="Arial" w:hAnsi="Arial"/>
                <w:sz w:val="18"/>
                <w:szCs w:val="18"/>
                <w:color w:val="auto"/>
                <w:w w:val="99"/>
              </w:rPr>
              <w:t>2</w:t>
            </w: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OptimizeRx Corporation is no longer a development stage company as of the current report. Throughout the 2010 fiscal year, our operation focus has been on the further development and initial launch of the SampleMD solution – targeting Pharmaceutical Manufacturers brand vouchers and copay coupons right at the point of prescribing, while on the business front we sought additional rounds of funding and positioning of strategic partnerships. We conduct all of our operations, development, sales and marketing through our wholly owned subsidiary, OptimizeRx Michigan.</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Although in our initial business model for OptimizeRx we recognized that patients have increasing influence in their healthcare decisions, particularly in their medications: what to buy, where to buy, and how to buy, we also came to realize that there was a great potential to influence these choices physicians make on behalf of the patient right at the point of care. Did physicians have information to assist in understanding formulary status and affordability for patients, additional savings to encourage patient persistency, special medical bulletins, etc., during the prescribing process? By creating a core technology engine – SampleMD channels this critical information right to the physician, within their work flow, and at the point of care.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We now have developed two of the most important informational channels for pharmaceutical manufacturers and their brands within the health care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 to Patient” through our OptimizeRx website; and “Direct to Physician” via SampleMD.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current reporting period, we have continued to invest in SampleMD, which offers a virtual “patient support center” that allows physicians and staff to easily search, select and distribute sample prescription drug vouchers, co-pay coupons and other support information to patients and pharmacies -- right from their desktop or electronic medical records (EMR) system. For example, if a physician or staff member searches for a particular drug, all available coupons or vouchers for that particular drug will appear on the clinician’s desktop. The clinician can then choose to electronically send or print out the coupon or voucher for the patient from the SampleMD desktop widget, or they will be sent directly to the pharmacy from within a physician’s ePrescribing application when the prescription is finalized by the doctor at the point of care.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Throughout 2010, we made many strides in establishing our company and our SampleMD solution within the marketplace.</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16, 2010, we entered into a Master Services Agreement with Walgreens Health Initiatives in order to promote Walgreens product savings and special offers within the SampleMD platform. In turn for our promotional services, our primary compensation will be based on the number of Walgreens offer transactions that are generated by physicians using the SampleMD platform to help their patients better afford the medicines and healthcare products they need.</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Advocate Health Partners, a joint venture between the Advocate Health Care system and 3,600 physicians on the medical staffs of Advocate hospitals, not only signed an agreement to utilize SampleMD, but it beta launched the application on November 15, 2010 throughout its clinics. Additional health systems that launched late in 2010 include NuHealth System, a Long Island healthcare organization and Carillion Health, a Virginia health care provider.</w:t>
      </w:r>
    </w:p>
    <w:p>
      <w:pPr>
        <w:spacing w:after="0" w:line="21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the strategic relationship front, we have entered into a partnership with Physicians Interactive Holding, LLC (“PI”), a leading digital sales and marketing partner of life sciences companies, to provide healthcare professionals with SampleMD. The partnership will allow each company to distribute each other’s products and services via web, desktop and mobile applications as well as to develop a joint solution that will combine each of the industry leading technologies for a “one-stop-shop” for clinicians to access numerous pharmaceutical samples, vouchers, co-pay programs and other patient support.</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hope this partnership will increase the speed, ease and convenience with which clinicians can access pharma and life science products to better care for their patients. Doctors will be able to review a selected drug’s formulary status within the patients’ insurance plan to determine at what level the product is paid/reimbursed, as well as the latest product information, and can directly contact the representative for more information through SampleMD. In addition to the partnership, PI has made a financial investment in our company, which is described in more detail below under the section titled “Liquidity and Capital Resources,” to help finance our operations going forward.</w:t>
      </w:r>
    </w:p>
    <w:p>
      <w:pPr>
        <w:spacing w:after="0" w:line="2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also entered into a relationship with Allscripts, a leading ePrescribing and Electronic Medical Records technology company serving some 100,000 plus doctors and prescribing physicians. This integration of the SampleMD technology right within the ePrescribing application streamlines the process with which doctors find available vouchers and coupons for patients. Once a drug is prescribed by the doctor, if a program exists then it is automatically searched and presented to the doctor right at the point of prescribed care. The initial beta of this application was launched on December 13, 2010 within the Allscripts environment.</w:t>
      </w:r>
    </w:p>
    <w:p>
      <w:pPr>
        <w:spacing w:after="0" w:line="2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the launch of this new technology will expand accessibility options to healthcare providers and extends the channel reach of pharmaceutical companies eager to build loyalty, trust and credibility among physicians and office staff, as well as to overcome increasingly typical bans and restrictions on drug reps and sampling.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56" w:lineRule="exact"/>
        <w:rPr>
          <w:sz w:val="20"/>
          <w:szCs w:val="20"/>
          <w:color w:val="auto"/>
        </w:rPr>
      </w:pPr>
    </w:p>
    <w:p>
      <w:pPr>
        <w:ind w:left="1380" w:right="20" w:hanging="868"/>
        <w:spacing w:after="0" w:line="312"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SampleMD - Today, almost 2/3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46" w:lineRule="exact"/>
        <w:rPr>
          <w:rFonts w:ascii="Arial" w:cs="Arial" w:eastAsia="Arial" w:hAnsi="Arial"/>
          <w:sz w:val="16"/>
          <w:szCs w:val="16"/>
          <w:color w:val="auto"/>
        </w:rPr>
      </w:pPr>
    </w:p>
    <w:p>
      <w:pPr>
        <w:ind w:left="1380"/>
        <w:spacing w:after="0" w:line="270" w:lineRule="auto"/>
        <w:rPr>
          <w:rFonts w:ascii="Arial" w:cs="Arial" w:eastAsia="Arial" w:hAnsi="Arial"/>
          <w:sz w:val="16"/>
          <w:szCs w:val="16"/>
          <w:color w:val="auto"/>
        </w:rPr>
      </w:pPr>
      <w:r>
        <w:rPr>
          <w:rFonts w:ascii="Arial" w:cs="Arial" w:eastAsia="Arial" w:hAnsi="Arial"/>
          <w:sz w:val="17"/>
          <w:szCs w:val="17"/>
          <w:color w:val="auto"/>
        </w:rPr>
        <w:t>SampleMD is a revolutionary downloadable virtual "Patient Support Center" that allows doctors and staff to access a universe of sample vouchers, co-pay coupons and the fulfillment and adjudication of claims directly from their desktops. Doctors and healthcare providers utilize the SampleMD application from their computer desktops or integrate it into their EMR and/or e-Prescribe systems to search, print or electronically dispense drug samples and co-pay coupons through a national network of pharmacies. SampleMD eliminates the need for physicians to manage and store physical drug samples by offering a more convenient and efficient way to allocate, administer and track samples and co-pay savings provided to their patients. Doctors can also review a branded drug's formulary status within the patients' insurance plan to determine at what level the product is paid/reimbursed. With an integrated automated communications capability, SampleMD will also provide on-going patient support and delivery of monthly co-pay savings to promote continued drug compliance for chronic conditions such as diabetes, heart disease and asthma.</w:t>
      </w:r>
    </w:p>
    <w:p>
      <w:pPr>
        <w:spacing w:after="0" w:line="208" w:lineRule="exact"/>
        <w:rPr>
          <w:rFonts w:ascii="Arial" w:cs="Arial" w:eastAsia="Arial" w:hAnsi="Arial"/>
          <w:sz w:val="16"/>
          <w:szCs w:val="16"/>
          <w:color w:val="auto"/>
        </w:rPr>
      </w:pPr>
    </w:p>
    <w:p>
      <w:pPr>
        <w:ind w:left="1380" w:right="560" w:hanging="868"/>
        <w:spacing w:after="0" w:line="297"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OPTIMIZERx.com – Our Site is a portal to healthcare savings for patients to centrally review and participate in prescription and healthcare savings and support programs. We strive to provide all the information and guidance that patients undergoing long-term pharmaceutical treatments may require. Patients can search by their medication or their 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58" w:lineRule="exact"/>
        <w:rPr>
          <w:rFonts w:ascii="Arial" w:cs="Arial" w:eastAsia="Arial" w:hAnsi="Arial"/>
          <w:sz w:val="16"/>
          <w:szCs w:val="16"/>
          <w:color w:val="auto"/>
        </w:rPr>
      </w:pPr>
    </w:p>
    <w:p>
      <w:pPr>
        <w:ind w:left="1380"/>
        <w:spacing w:after="0" w:line="259" w:lineRule="auto"/>
        <w:rPr>
          <w:rFonts w:ascii="Arial" w:cs="Arial" w:eastAsia="Arial" w:hAnsi="Arial"/>
          <w:sz w:val="16"/>
          <w:szCs w:val="16"/>
          <w:color w:val="auto"/>
        </w:rPr>
      </w:pPr>
      <w:r>
        <w:rPr>
          <w:rFonts w:ascii="Arial" w:cs="Arial" w:eastAsia="Arial" w:hAnsi="Arial"/>
          <w:sz w:val="18"/>
          <w:szCs w:val="18"/>
          <w:color w:val="auto"/>
        </w:rPr>
        <w:t>By providing information as well as significant savings opportunities to users of our Site, we hope to become the default medical website for both patients and the pharmaceutical industry. We feel that the aging of the baby boom generation, combined with the preponderance of internet usage to access information and savings in all areas, has created a large potential market for our Site. The Site is also the launching point for our other products, OFFERx and ADHERxE.</w:t>
      </w:r>
    </w:p>
    <w:p>
      <w:pPr>
        <w:spacing w:after="0" w:line="213" w:lineRule="exact"/>
        <w:rPr>
          <w:rFonts w:ascii="Arial" w:cs="Arial" w:eastAsia="Arial" w:hAnsi="Arial"/>
          <w:sz w:val="16"/>
          <w:szCs w:val="16"/>
          <w:color w:val="auto"/>
        </w:rPr>
      </w:pPr>
    </w:p>
    <w:p>
      <w:pPr>
        <w:ind w:left="1380" w:hanging="868"/>
        <w:spacing w:after="0" w:line="257"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OFFERx – Our turn-key online platform, OFFERx, allows manufacturers to create, promote, and fulfill new medication offering programs. Through our simple online interface, pharmaceutical manufacturers can offer coupons, discounts, and free trials directly to patients on our Site. This gives a significant level of control to manufacturers regarding the timing and level of their discounts. It also allows unprecedented flexibility in responding to market conditions as manufacturers will no longer need to allow for the long lead times necessary to prepare, print, and distribute the materials traditionally required for such programs.</w:t>
      </w:r>
    </w:p>
    <w:p>
      <w:pPr>
        <w:spacing w:after="0" w:line="215" w:lineRule="exact"/>
        <w:rPr>
          <w:rFonts w:ascii="Arial" w:cs="Arial" w:eastAsia="Arial" w:hAnsi="Arial"/>
          <w:sz w:val="18"/>
          <w:szCs w:val="18"/>
          <w:color w:val="auto"/>
        </w:rPr>
      </w:pPr>
    </w:p>
    <w:p>
      <w:pPr>
        <w:ind w:left="1380" w:right="80" w:hanging="868"/>
        <w:spacing w:after="0" w:line="255" w:lineRule="auto"/>
        <w:tabs>
          <w:tab w:leader="none" w:pos="14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AHERxE is our turn-key online platform that allows manufacturers to engage and monitor patients each month in exchange for activation of their monthly co-pay coupons. Pharmaceutical companies that wish to monitor the usage and effectiveness of their products through online surveys are able to provide incentives for patients to participate in the surveys by providing discounts through online coupons available on our Site. Patients complete an initial survey to determine their treatment status. Each month, when patients respond to reminder emails and complete the manufacturer’s ongoing survey, they receive a coupon for discounts on their medications copays. This helps patients afford their medications and provides a way for pharmaceutical companies to track patient usage and results of treatment programs.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With our marketing partners, we intend to promote OPTIMIZERx and SampleMD primarily through the following:</w:t>
      </w:r>
    </w:p>
    <w:p>
      <w:pPr>
        <w:spacing w:after="0" w:line="252" w:lineRule="exact"/>
        <w:rPr>
          <w:sz w:val="20"/>
          <w:szCs w:val="20"/>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Newspaper and Advertising</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TV</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Fortune 500 Employers- Benefits Departments</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Unions and Other Church and Civic organizations</w:t>
      </w:r>
    </w:p>
    <w:p>
      <w:pPr>
        <w:spacing w:after="0" w:line="23"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 Organizations and Associations</w:t>
      </w:r>
    </w:p>
    <w:p>
      <w:pPr>
        <w:spacing w:after="0" w:line="237" w:lineRule="exact"/>
        <w:rPr>
          <w:rFonts w:ascii="Arial" w:cs="Arial" w:eastAsia="Arial" w:hAnsi="Arial"/>
          <w:sz w:val="18"/>
          <w:szCs w:val="18"/>
          <w:color w:val="auto"/>
        </w:rPr>
      </w:pPr>
    </w:p>
    <w:p>
      <w:pPr>
        <w:ind w:left="1320" w:hanging="137"/>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distribution and sales purposes, we rely on internal and independent sales representatives. Additionally, we have entered into co-promotional agreements with Physicians Interactive and Allscripts as detailed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of our officers and directors are part of our continual research development team and monitor new technologies, trends, services, and partnerships that can help us provide additional services and increased value to the healthcare and pharmaceutical industries and to the patients we serve.</w:t>
      </w:r>
    </w:p>
    <w:p>
      <w:pPr>
        <w:spacing w:after="0" w:line="17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Additionally, for the development of SampleMD and enhancements to our technology, OPTIMIZERx has aligned with the Engineering and Information Technology department of Oakland University in Rochester Michigan. They bring highly skilled technology and application developers as well as a solid knowledge of the medical industry.</w:t>
      </w:r>
    </w:p>
    <w:p>
      <w:pPr>
        <w:spacing w:after="0" w:line="20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mentioned prior, we are currently in the launch phase of SampleMD, our direct to physician solution aimed at simplifying the business processes of providing, administrating, and distributing branded prescription medications to patients. Our continued efforts, complimenting SampleMD with OPTIMIZERx is to provide better affordability for better healthcare.</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seek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Direct to Physician Sampling Environment (SampleMD)</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SampleMD has faced little competition as it enters the market. The biggest of challengers was physicians having physical samples available on site and within their clinics. MedManage, a technology company who provides a web enables service allowing physician to order physicial sample on line for delivery to their clinics was the most prevalent of competitors. MedManage is a Physicians Interactive owned company, and through the partnership allows for the integration of the SampleMD engine within its application (and as another distribution channel for SampleMD) providing the best of either sampling environment for physicians. This integration of SampleMD within multiple distribution channels continued to be a major growth potential for SampleMD, unlike more competitive direct to consumer environment and the OptimizeRx website activity.</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OptimizeRx.com website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214" w:lineRule="exact"/>
        <w:rPr>
          <w:sz w:val="20"/>
          <w:szCs w:val="20"/>
          <w:color w:val="auto"/>
        </w:rPr>
      </w:pPr>
    </w:p>
    <w:p>
      <w:pPr>
        <w:ind w:left="880" w:right="100" w:hanging="142"/>
        <w:spacing w:after="0" w:line="342"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Quality Health – Quality Health hosts an interactive website that allows users to research information regarding medical conditions, medications, and treatments. Visitors to their website can also search for doctors or health centers in their area, both generally and specific to their condition.</w:t>
      </w:r>
    </w:p>
    <w:p>
      <w:pPr>
        <w:spacing w:after="0" w:line="150" w:lineRule="exact"/>
        <w:rPr>
          <w:rFonts w:ascii="Arial" w:cs="Arial" w:eastAsia="Arial" w:hAnsi="Arial"/>
          <w:sz w:val="16"/>
          <w:szCs w:val="16"/>
          <w:color w:val="auto"/>
        </w:rPr>
      </w:pPr>
    </w:p>
    <w:p>
      <w:pPr>
        <w:ind w:left="880" w:right="280" w:hanging="142"/>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WebMD – WebMD provides in-depth reference material regarding medical conditions and medicines to users. Individuals can search for a diagnosis via symptoms or research details regarding their previously diagnosed medical conditions. Online support forums are also hosted for patients with particularly challenging conditions.</w:t>
      </w:r>
    </w:p>
    <w:p>
      <w:pPr>
        <w:spacing w:after="0" w:line="208" w:lineRule="exact"/>
        <w:rPr>
          <w:rFonts w:ascii="Arial" w:cs="Arial" w:eastAsia="Arial" w:hAnsi="Arial"/>
          <w:sz w:val="18"/>
          <w:szCs w:val="18"/>
          <w:color w:val="auto"/>
        </w:rPr>
      </w:pPr>
    </w:p>
    <w:p>
      <w:pPr>
        <w:ind w:left="880" w:right="40" w:hanging="142"/>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McKesson – McKesson Corporation has been providing health care services in the United States for over 175 years. They act as a distributor for pharmaceutical companies to a network of pharmacies, and have developed online solutions for customers, third-party payors, and manufacturers. McKesson has significantly greater financial resources and brand recognition than we do.</w:t>
      </w:r>
    </w:p>
    <w:p>
      <w:pPr>
        <w:spacing w:after="0" w:line="208" w:lineRule="exact"/>
        <w:rPr>
          <w:rFonts w:ascii="Arial" w:cs="Arial" w:eastAsia="Arial" w:hAnsi="Arial"/>
          <w:sz w:val="18"/>
          <w:szCs w:val="18"/>
          <w:color w:val="auto"/>
        </w:rPr>
      </w:pPr>
    </w:p>
    <w:p>
      <w:pPr>
        <w:ind w:left="880" w:right="20" w:hanging="142"/>
        <w:spacing w:after="0" w:line="264"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Drugs.com – Drugs.com provides free, accurate, and independent advice on more than 24,000 prescription drugs, over-the-counter medicines, and natural products. Their data sources include Micromedex™, Cerner Multum™, Wolters Kluwer™, and others. Users can search by condition or medication.</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competitors who have not done so already may be able to enter into the field by developing a website to promote health care offers. However, most may be limited in their ability to create, promote and manage new and exclusive prescription trials or offers. Additionally, with ADHERxE and the ability to create multiple offers activated each month for returning patients who sign up, we believe that we are uniquely positioned with significant barriers to entry for potential competitors in this area.</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our business is not predicated on being awarded patent exclusiveness. Rather, patent protection represents a huge asset and further opportunity upon its receipt.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SampleMD is a licensed trademark</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ectPr>
          <w:pgSz w:w="11900" w:h="16838" w:orient="portrait"/>
          <w:cols w:equalWidth="0" w:num="1">
            <w:col w:w="11100"/>
          </w:cols>
          <w:pgMar w:left="240" w:top="121" w:right="559" w:bottom="1440" w:gutter="0" w:footer="0" w:header="0"/>
        </w:sectPr>
      </w:pP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3"/>
              </w:rPr>
              <w:t>App Number/</w:t>
            </w:r>
          </w:p>
        </w:tc>
        <w:tc>
          <w:tcPr>
            <w:tcW w:w="22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3"/>
              </w:rPr>
              <w:t>Brief Summary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220" w:type="dxa"/>
            <w:vAlign w:val="bottom"/>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(Products Covered)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280" w:type="dxa"/>
            <w:vAlign w:val="bottom"/>
          </w:tcPr>
          <w:p>
            <w:pPr>
              <w:spacing w:after="0" w:line="195" w:lineRule="exact"/>
              <w:rPr>
                <w:sz w:val="20"/>
                <w:szCs w:val="20"/>
                <w:color w:val="auto"/>
              </w:rPr>
            </w:pPr>
            <w:r>
              <w:rPr>
                <w:rFonts w:ascii="Arial" w:cs="Arial" w:eastAsia="Arial" w:hAnsi="Arial"/>
                <w:sz w:val="18"/>
                <w:szCs w:val="18"/>
                <w:color w:val="auto"/>
              </w:rPr>
              <w:t>S.N. 11/528,292</w:t>
            </w:r>
          </w:p>
        </w:tc>
        <w:tc>
          <w:tcPr>
            <w:tcW w:w="220" w:type="dxa"/>
            <w:vAlign w:val="bottom"/>
            <w:vMerge w:val="continue"/>
          </w:tcPr>
          <w:p>
            <w:pPr>
              <w:spacing w:after="0"/>
              <w:rPr>
                <w:sz w:val="16"/>
                <w:szCs w:val="16"/>
                <w:color w:val="auto"/>
              </w:rPr>
            </w:pPr>
          </w:p>
        </w:tc>
        <w:tc>
          <w:tcPr>
            <w:tcW w:w="4340" w:type="dxa"/>
            <w:vAlign w:val="bottom"/>
          </w:tcPr>
          <w:p>
            <w:pPr>
              <w:spacing w:after="0" w:line="195" w:lineRule="exact"/>
              <w:rPr>
                <w:sz w:val="20"/>
                <w:szCs w:val="20"/>
                <w:color w:val="auto"/>
              </w:rPr>
            </w:pPr>
            <w:r>
              <w:rPr>
                <w:rFonts w:ascii="Arial" w:cs="Arial" w:eastAsia="Arial" w:hAnsi="Arial"/>
                <w:sz w:val="18"/>
                <w:szCs w:val="18"/>
                <w:color w:val="auto"/>
                <w:w w:val="93"/>
              </w:rPr>
              <w:t>System for providing patient savings and promoting health</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September 27, 2006</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care product sales</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S.N. 61/277,161</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w w:val="92"/>
              </w:rPr>
              <w:t>Virtual Sample Cabinet System and Method for Prescribing</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September 21,2009</w:t>
            </w: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Drug Marketing</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gridSpan w:val="2"/>
          </w:tcPr>
          <w:p>
            <w:pPr>
              <w:jc w:val="right"/>
              <w:ind w:right="2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-779780</wp:posOffset>
            </wp:positionV>
            <wp:extent cx="579755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274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311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1311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Patent application pending.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Patent application pending</w:t>
      </w:r>
    </w:p>
    <w:p>
      <w:pPr>
        <w:sectPr>
          <w:pgSz w:w="11900" w:h="16838" w:orient="portrait"/>
          <w:cols w:equalWidth="0" w:num="2">
            <w:col w:w="8000" w:space="220"/>
            <w:col w:w="2880"/>
          </w:cols>
          <w:pgMar w:left="240" w:top="121" w:right="55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our company, known at the time as RFID Ltd., consummated entering into a share exchange agreement with the stockholders of OptimizeRx Corporation, pursuant to which the stockholders of OptimizeRx Corporation exchanged all of the issued and outstanding capital stock of OptimizeRx Corporation for 10,664,000 shares of common stock of RFID Ltd.. As of April 30, 2008, RFID’s officers and directors resigned their positions and RFID changed its business to OptimizeRx’s business. As a result, the historical discussion and financial statements included in this annual report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31, 2010, we had five full-time employees and one independent sales contractor who perform various services for us. We also engage consultants, independent sales representatives, investor relations, accounting and legal services. We also established a relationship with Oakland University for technical and programming resources.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407 Sixth Street, Rochester, Michigan, 48307. We have entered into a six-month lease for this 2,000 square foot facility, with a cost of approximately $2,500 per month. We believe that our properties are adequate for our current needs, but growth potential towards mid to end of 2011 may require larger facilities due to anticipated addition of personnel. We do not have any policies regarding investments in real estate, securities or other forms of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Vicis on June 4, 2010.</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Midtown Partners removed the action to the United States District Court for the Eastern District of Michigan. We are in the initial pleading stage of this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Since October 28, 2009, our common stock has been quoted on the OTC Bulletin Board, under the symbol “OPRX.”</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range of high and low prices for our common stock for the each of the periods indicated as reported by the OTC Bulletin Board.</w:t>
      </w: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Fiscal Year Ending December 31, 2010</w:t>
      </w:r>
    </w:p>
    <w:p>
      <w:pPr>
        <w:spacing w:after="0" w:line="23"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Quarter Ended</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High $</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Low $</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6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1.50</w:t>
            </w:r>
          </w:p>
        </w:tc>
        <w:tc>
          <w:tcPr>
            <w:tcW w:w="1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0.80</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September 30, 2010</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2.02</w:t>
            </w: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0.75</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June 30, 2010</w:t>
            </w:r>
          </w:p>
        </w:tc>
        <w:tc>
          <w:tcPr>
            <w:tcW w:w="16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2.45</w:t>
            </w:r>
          </w:p>
        </w:tc>
        <w:tc>
          <w:tcPr>
            <w:tcW w:w="1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1.26</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March 31, 2010</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2.65</w:t>
            </w: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0</w:t>
            </w:r>
          </w:p>
        </w:tc>
      </w:tr>
    </w:tbl>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sets forth the range of high and low bid quotations for our common stock for each of the periods indicated as reported by the OTC Bulletin Board. These quotations reflect inter-dealer prices, without retail mark-up, mark-down or commission and may not necessarily represent actual transactions.</w:t>
      </w: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Fiscal Year Ending December 31, 2009</w:t>
      </w:r>
    </w:p>
    <w:p>
      <w:pPr>
        <w:spacing w:after="0" w:line="23"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Quarter Ended</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6"/>
              </w:rPr>
              <w:t>High $</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Low $</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6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2.20</w:t>
            </w:r>
          </w:p>
        </w:tc>
        <w:tc>
          <w:tcPr>
            <w:tcW w:w="1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0.10</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September 30, 2009</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3.00</w:t>
            </w: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0.20</w:t>
            </w: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16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4.00</w:t>
            </w:r>
          </w:p>
        </w:tc>
        <w:tc>
          <w:tcPr>
            <w:tcW w:w="16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1.05</w:t>
            </w:r>
          </w:p>
        </w:tc>
      </w:tr>
      <w:tr>
        <w:trPr>
          <w:trHeight w:val="230"/>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March 31, 2009</w:t>
            </w:r>
          </w:p>
        </w:tc>
        <w:tc>
          <w:tcPr>
            <w:tcW w:w="16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4.25</w:t>
            </w:r>
          </w:p>
        </w:tc>
        <w:tc>
          <w:tcPr>
            <w:tcW w:w="162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0.40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March 30, 2011, the last sales price per share of our common stock was $0.75.</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21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2010, we had 13,606,676 shares of our common stock issued and outstanding, held by 312 shareholders of record, not including those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9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2008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also have warrants outstanding to purchase 10,361,100 shares of our common stock as of December 31,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7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Equity Compensation Plans as of December 31, 2010</w:t>
            </w: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9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C</w:t>
            </w:r>
          </w:p>
        </w:tc>
      </w:tr>
      <w:tr>
        <w:trPr>
          <w:trHeight w:val="198"/>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94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Number of securities remaining</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 to be issued</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 exercise price of</w:t>
            </w:r>
          </w:p>
        </w:tc>
        <w:tc>
          <w:tcPr>
            <w:tcW w:w="2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available for future issuance under</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7"/>
              </w:rPr>
              <w:t>upon exercise of outstanding options,</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options, warrants and</w:t>
            </w:r>
          </w:p>
        </w:tc>
        <w:tc>
          <w:tcPr>
            <w:tcW w:w="2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equity compensation plans (excluding</w:t>
            </w:r>
          </w:p>
        </w:tc>
      </w:tr>
      <w:tr>
        <w:trPr>
          <w:trHeight w:val="241"/>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4"/>
              </w:rPr>
              <w:t>right</w:t>
            </w:r>
          </w:p>
        </w:tc>
        <w:tc>
          <w:tcPr>
            <w:tcW w:w="2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securities reflected in column (A))</w:t>
            </w:r>
          </w:p>
        </w:tc>
      </w:tr>
      <w:tr>
        <w:trPr>
          <w:trHeight w:val="202"/>
        </w:trPr>
        <w:tc>
          <w:tcPr>
            <w:tcW w:w="20" w:type="dxa"/>
            <w:vAlign w:val="bottom"/>
          </w:tcPr>
          <w:p>
            <w:pPr>
              <w:spacing w:after="0"/>
              <w:rPr>
                <w:sz w:val="17"/>
                <w:szCs w:val="17"/>
                <w:color w:val="auto"/>
              </w:rPr>
            </w:pPr>
          </w:p>
        </w:tc>
        <w:tc>
          <w:tcPr>
            <w:tcW w:w="27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2940" w:type="dxa"/>
            <w:vAlign w:val="bottom"/>
            <w:tcBorders>
              <w:top w:val="single" w:sz="8" w:color="auto"/>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approved by security</w:t>
            </w:r>
          </w:p>
        </w:tc>
        <w:tc>
          <w:tcPr>
            <w:tcW w:w="29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29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Equity compensation plans</w:t>
            </w:r>
          </w:p>
        </w:tc>
        <w:tc>
          <w:tcPr>
            <w:tcW w:w="2940" w:type="dxa"/>
            <w:vAlign w:val="bottom"/>
          </w:tcPr>
          <w:p>
            <w:pPr>
              <w:jc w:val="right"/>
              <w:spacing w:after="0" w:line="201" w:lineRule="exact"/>
              <w:rPr>
                <w:sz w:val="20"/>
                <w:szCs w:val="20"/>
                <w:color w:val="auto"/>
              </w:rPr>
            </w:pPr>
            <w:r>
              <w:rPr>
                <w:rFonts w:ascii="Arial" w:cs="Arial" w:eastAsia="Arial" w:hAnsi="Arial"/>
                <w:sz w:val="18"/>
                <w:szCs w:val="18"/>
                <w:color w:val="auto"/>
              </w:rPr>
              <w:t>10,836,100</w:t>
            </w:r>
          </w:p>
        </w:tc>
        <w:tc>
          <w:tcPr>
            <w:tcW w:w="2840" w:type="dxa"/>
            <w:vAlign w:val="bottom"/>
          </w:tcPr>
          <w:p>
            <w:pPr>
              <w:jc w:val="right"/>
              <w:spacing w:after="0" w:line="201" w:lineRule="exact"/>
              <w:rPr>
                <w:sz w:val="20"/>
                <w:szCs w:val="20"/>
                <w:color w:val="auto"/>
              </w:rPr>
            </w:pPr>
            <w:r>
              <w:rPr>
                <w:rFonts w:ascii="Arial" w:cs="Arial" w:eastAsia="Arial" w:hAnsi="Arial"/>
                <w:sz w:val="18"/>
                <w:szCs w:val="18"/>
                <w:color w:val="auto"/>
              </w:rPr>
              <w:t>$2.13</w:t>
            </w:r>
          </w:p>
        </w:tc>
        <w:tc>
          <w:tcPr>
            <w:tcW w:w="2900" w:type="dxa"/>
            <w:vAlign w:val="bottom"/>
          </w:tcPr>
          <w:p>
            <w:pPr>
              <w:jc w:val="right"/>
              <w:spacing w:after="0" w:line="201" w:lineRule="exact"/>
              <w:rPr>
                <w:sz w:val="20"/>
                <w:szCs w:val="20"/>
                <w:color w:val="auto"/>
              </w:rPr>
            </w:pPr>
            <w:r>
              <w:rPr>
                <w:rFonts w:ascii="Arial" w:cs="Arial" w:eastAsia="Arial" w:hAnsi="Arial"/>
                <w:sz w:val="18"/>
                <w:szCs w:val="18"/>
                <w:color w:val="auto"/>
              </w:rPr>
              <w:t>1,015,000</w:t>
            </w:r>
          </w:p>
        </w:tc>
        <w:tc>
          <w:tcPr>
            <w:tcW w:w="20" w:type="dxa"/>
            <w:vAlign w:val="bottom"/>
          </w:tcPr>
          <w:p>
            <w:pPr>
              <w:spacing w:after="0"/>
              <w:rPr>
                <w:sz w:val="17"/>
                <w:szCs w:val="17"/>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not approved by security</w:t>
            </w:r>
          </w:p>
        </w:tc>
        <w:tc>
          <w:tcPr>
            <w:tcW w:w="2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29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0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780" w:type="dxa"/>
            <w:vAlign w:val="bottom"/>
            <w:gridSpan w:val="2"/>
          </w:tcPr>
          <w:p>
            <w:pPr>
              <w:jc w:val="right"/>
              <w:ind w:right="2630"/>
              <w:spacing w:after="0"/>
              <w:rPr>
                <w:sz w:val="20"/>
                <w:szCs w:val="20"/>
                <w:color w:val="auto"/>
              </w:rPr>
            </w:pPr>
            <w:r>
              <w:rPr>
                <w:rFonts w:ascii="Arial" w:cs="Arial" w:eastAsia="Arial" w:hAnsi="Arial"/>
                <w:sz w:val="18"/>
                <w:szCs w:val="18"/>
                <w:color w:val="auto"/>
              </w:rPr>
              <w:t>14</w:t>
            </w: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2010, we issued 12,000 shares of common stock for services valued at $27,960.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April 20, 2010, we issued 66,000 shares to board members for services valued at $130,680.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on May 27, 2010, we issued 25,000 for services valued at $42,500.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September 27, 2010, we issued 100,000 shares of common stock for services valued at $100,000.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October 14, 2010, we issued 24,000 shares to a board member or advisory services valued at $30,000.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2010, we issued 410,520 shares of common stock to satisfy $700,000 of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February 19, 2010, 75,400 stock warrants were exercised for 43,039 shares of common stock in a cashless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May 19, 2010, 25,000 stock warrants were exercised for 25,000 shares of common stock for total proceeds of $8,750.</w:t>
      </w:r>
    </w:p>
    <w:p>
      <w:pPr>
        <w:spacing w:after="0" w:line="25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On April 26, 2010, we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2010 and 2009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2010 was $71,065, an increase from $26,723 from the prior year.</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increased revenue for the year ended December 31, 2010 as compared with the prior year is a result of the initial launch of our SampleMD solution and the setup and integration fees for pharmaceutical manufacturers whom are participating within this offering.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expenses decreased to $1,917,296 for the year ended December 31, 2010 from $4,613,039 for the year ended December 31, 2009. Our operating expenses for year ended December 31, 2010 as compared to the prior year is set forth below:</w:t>
      </w:r>
    </w:p>
    <w:p>
      <w:pPr>
        <w:spacing w:after="0" w:line="180" w:lineRule="exact"/>
        <w:rPr>
          <w:sz w:val="20"/>
          <w:szCs w:val="20"/>
          <w:color w:val="auto"/>
        </w:rPr>
      </w:pPr>
    </w:p>
    <w:tbl>
      <w:tblPr>
        <w:tblLayout w:type="fixed"/>
        <w:tblInd w:w="344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w w:val="84"/>
              </w:rPr>
              <w:t>2009</w:t>
            </w:r>
          </w:p>
        </w:tc>
        <w:tc>
          <w:tcPr>
            <w:tcW w:w="320" w:type="dxa"/>
            <w:vAlign w:val="bottom"/>
          </w:tcPr>
          <w:p>
            <w:pPr>
              <w:spacing w:after="0"/>
              <w:rPr>
                <w:sz w:val="17"/>
                <w:szCs w:val="17"/>
                <w:color w:val="auto"/>
              </w:rPr>
            </w:pPr>
          </w:p>
        </w:tc>
      </w:tr>
      <w:tr>
        <w:trPr>
          <w:trHeight w:val="453"/>
        </w:trPr>
        <w:tc>
          <w:tcPr>
            <w:tcW w:w="26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26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Salaries, wages, taxes and</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benefits</w:t>
            </w:r>
          </w:p>
        </w:tc>
        <w:tc>
          <w:tcPr>
            <w:tcW w:w="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$803,774</w:t>
            </w:r>
          </w:p>
        </w:tc>
        <w:tc>
          <w:tcPr>
            <w:tcW w:w="1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$524,632</w:t>
            </w:r>
          </w:p>
        </w:tc>
      </w:tr>
      <w:tr>
        <w:trPr>
          <w:trHeight w:val="202"/>
        </w:trPr>
        <w:tc>
          <w:tcPr>
            <w:tcW w:w="2600" w:type="dxa"/>
            <w:vAlign w:val="bottom"/>
          </w:tcPr>
          <w:p>
            <w:pPr>
              <w:ind w:left="320"/>
              <w:spacing w:after="0" w:line="201" w:lineRule="exact"/>
              <w:rPr>
                <w:sz w:val="20"/>
                <w:szCs w:val="20"/>
                <w:color w:val="auto"/>
              </w:rPr>
            </w:pPr>
            <w:r>
              <w:rPr>
                <w:rFonts w:ascii="Arial" w:cs="Arial" w:eastAsia="Arial" w:hAnsi="Arial"/>
                <w:sz w:val="18"/>
                <w:szCs w:val="18"/>
                <w:color w:val="auto"/>
                <w:w w:val="94"/>
              </w:rPr>
              <w:t>Share-based compensation to</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employees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6,203</w:t>
            </w:r>
          </w:p>
        </w:tc>
        <w:tc>
          <w:tcPr>
            <w:tcW w:w="140" w:type="dxa"/>
            <w:vAlign w:val="bottom"/>
          </w:tcPr>
          <w:p>
            <w:pPr>
              <w:spacing w:after="0"/>
              <w:rPr>
                <w:sz w:val="20"/>
                <w:szCs w:val="20"/>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1,321,226</w:t>
            </w: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Consulting fees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355,929</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1,554,415</w:t>
            </w:r>
          </w:p>
        </w:tc>
      </w:tr>
      <w:tr>
        <w:trPr>
          <w:trHeight w:val="216"/>
        </w:trPr>
        <w:tc>
          <w:tcPr>
            <w:tcW w:w="2600" w:type="dxa"/>
            <w:vAlign w:val="bottom"/>
          </w:tcPr>
          <w:p>
            <w:pPr>
              <w:ind w:left="320"/>
              <w:spacing w:after="0"/>
              <w:rPr>
                <w:sz w:val="20"/>
                <w:szCs w:val="20"/>
                <w:color w:val="auto"/>
              </w:rPr>
            </w:pPr>
            <w:r>
              <w:rPr>
                <w:rFonts w:ascii="Arial" w:cs="Arial" w:eastAsia="Arial" w:hAnsi="Arial"/>
                <w:sz w:val="18"/>
                <w:szCs w:val="18"/>
                <w:color w:val="auto"/>
              </w:rPr>
              <w:t>Advertising</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130,061</w:t>
            </w:r>
          </w:p>
        </w:tc>
        <w:tc>
          <w:tcPr>
            <w:tcW w:w="1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8"/>
              </w:rPr>
              <w:t>686,545</w:t>
            </w:r>
          </w:p>
        </w:tc>
        <w:tc>
          <w:tcPr>
            <w:tcW w:w="320" w:type="dxa"/>
            <w:vAlign w:val="bottom"/>
          </w:tcPr>
          <w:p>
            <w:pPr>
              <w:spacing w:after="0"/>
              <w:rPr>
                <w:sz w:val="18"/>
                <w:szCs w:val="18"/>
                <w:color w:val="auto"/>
              </w:rPr>
            </w:pP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Professional fees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213,970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154,752</w:t>
            </w:r>
          </w:p>
        </w:tc>
        <w:tc>
          <w:tcPr>
            <w:tcW w:w="320" w:type="dxa"/>
            <w:vAlign w:val="bottom"/>
            <w:shd w:val="clear" w:color="auto" w:fill="CCEEFF"/>
          </w:tcPr>
          <w:p>
            <w:pPr>
              <w:spacing w:after="0"/>
              <w:rPr>
                <w:sz w:val="18"/>
                <w:szCs w:val="18"/>
                <w:color w:val="auto"/>
              </w:rPr>
            </w:pPr>
          </w:p>
        </w:tc>
      </w:tr>
      <w:tr>
        <w:trPr>
          <w:trHeight w:val="216"/>
        </w:trPr>
        <w:tc>
          <w:tcPr>
            <w:tcW w:w="2600" w:type="dxa"/>
            <w:vAlign w:val="bottom"/>
          </w:tcPr>
          <w:p>
            <w:pPr>
              <w:ind w:left="320"/>
              <w:spacing w:after="0"/>
              <w:rPr>
                <w:sz w:val="20"/>
                <w:szCs w:val="20"/>
                <w:color w:val="auto"/>
              </w:rPr>
            </w:pPr>
            <w:r>
              <w:rPr>
                <w:rFonts w:ascii="Arial" w:cs="Arial" w:eastAsia="Arial" w:hAnsi="Arial"/>
                <w:sz w:val="18"/>
                <w:szCs w:val="18"/>
                <w:color w:val="auto"/>
              </w:rPr>
              <w:t>Travel</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58,132</w:t>
            </w:r>
          </w:p>
        </w:tc>
        <w:tc>
          <w:tcPr>
            <w:tcW w:w="1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76,142</w:t>
            </w:r>
          </w:p>
        </w:tc>
        <w:tc>
          <w:tcPr>
            <w:tcW w:w="320" w:type="dxa"/>
            <w:vAlign w:val="bottom"/>
          </w:tcPr>
          <w:p>
            <w:pPr>
              <w:spacing w:after="0"/>
              <w:rPr>
                <w:sz w:val="18"/>
                <w:szCs w:val="18"/>
                <w:color w:val="auto"/>
              </w:rPr>
            </w:pP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Investor relations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53,450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30,900</w:t>
            </w:r>
          </w:p>
        </w:tc>
        <w:tc>
          <w:tcPr>
            <w:tcW w:w="320" w:type="dxa"/>
            <w:vAlign w:val="bottom"/>
            <w:shd w:val="clear" w:color="auto" w:fill="CCEEFF"/>
          </w:tcPr>
          <w:p>
            <w:pPr>
              <w:spacing w:after="0"/>
              <w:rPr>
                <w:sz w:val="18"/>
                <w:szCs w:val="18"/>
                <w:color w:val="auto"/>
              </w:rPr>
            </w:pPr>
          </w:p>
        </w:tc>
      </w:tr>
      <w:tr>
        <w:trPr>
          <w:trHeight w:val="202"/>
        </w:trPr>
        <w:tc>
          <w:tcPr>
            <w:tcW w:w="2600" w:type="dxa"/>
            <w:vAlign w:val="bottom"/>
          </w:tcPr>
          <w:p>
            <w:pPr>
              <w:ind w:left="320"/>
              <w:spacing w:after="0" w:line="201" w:lineRule="exact"/>
              <w:rPr>
                <w:sz w:val="20"/>
                <w:szCs w:val="20"/>
                <w:color w:val="auto"/>
              </w:rPr>
            </w:pPr>
            <w:r>
              <w:rPr>
                <w:rFonts w:ascii="Arial" w:cs="Arial" w:eastAsia="Arial" w:hAnsi="Arial"/>
                <w:sz w:val="18"/>
                <w:szCs w:val="18"/>
                <w:color w:val="auto"/>
                <w:w w:val="92"/>
              </w:rPr>
              <w:t>Depreciation, amortization and</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impairment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119,083</w:t>
            </w:r>
          </w:p>
        </w:tc>
        <w:tc>
          <w:tcPr>
            <w:tcW w:w="14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32,516</w:t>
            </w:r>
          </w:p>
        </w:tc>
        <w:tc>
          <w:tcPr>
            <w:tcW w:w="320" w:type="dxa"/>
            <w:vAlign w:val="bottom"/>
          </w:tcPr>
          <w:p>
            <w:pPr>
              <w:spacing w:after="0"/>
              <w:rPr>
                <w:sz w:val="20"/>
                <w:szCs w:val="20"/>
                <w:color w:val="auto"/>
              </w:rPr>
            </w:pP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78,437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39,388</w:t>
            </w:r>
          </w:p>
        </w:tc>
        <w:tc>
          <w:tcPr>
            <w:tcW w:w="320" w:type="dxa"/>
            <w:vAlign w:val="bottom"/>
            <w:shd w:val="clear" w:color="auto" w:fill="CCEEFF"/>
          </w:tcPr>
          <w:p>
            <w:pPr>
              <w:spacing w:after="0"/>
              <w:rPr>
                <w:sz w:val="18"/>
                <w:szCs w:val="18"/>
                <w:color w:val="auto"/>
              </w:rPr>
            </w:pPr>
          </w:p>
        </w:tc>
      </w:tr>
      <w:tr>
        <w:trPr>
          <w:trHeight w:val="216"/>
        </w:trPr>
        <w:tc>
          <w:tcPr>
            <w:tcW w:w="260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22,328</w:t>
            </w:r>
          </w:p>
        </w:tc>
        <w:tc>
          <w:tcPr>
            <w:tcW w:w="1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14,054</w:t>
            </w:r>
          </w:p>
        </w:tc>
        <w:tc>
          <w:tcPr>
            <w:tcW w:w="320" w:type="dxa"/>
            <w:vAlign w:val="bottom"/>
          </w:tcPr>
          <w:p>
            <w:pPr>
              <w:spacing w:after="0"/>
              <w:rPr>
                <w:sz w:val="18"/>
                <w:szCs w:val="18"/>
                <w:color w:val="auto"/>
              </w:rPr>
            </w:pPr>
          </w:p>
        </w:tc>
      </w:tr>
      <w:tr>
        <w:trPr>
          <w:trHeight w:val="216"/>
        </w:trPr>
        <w:tc>
          <w:tcPr>
            <w:tcW w:w="2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Website maintenance</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22,480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15,801</w:t>
            </w:r>
          </w:p>
        </w:tc>
        <w:tc>
          <w:tcPr>
            <w:tcW w:w="320" w:type="dxa"/>
            <w:vAlign w:val="bottom"/>
            <w:shd w:val="clear" w:color="auto" w:fill="CCEEFF"/>
          </w:tcPr>
          <w:p>
            <w:pPr>
              <w:spacing w:after="0"/>
              <w:rPr>
                <w:sz w:val="18"/>
                <w:szCs w:val="18"/>
                <w:color w:val="auto"/>
              </w:rPr>
            </w:pPr>
          </w:p>
        </w:tc>
      </w:tr>
      <w:tr>
        <w:trPr>
          <w:trHeight w:val="230"/>
        </w:trPr>
        <w:tc>
          <w:tcPr>
            <w:tcW w:w="260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53,449</w:t>
            </w:r>
          </w:p>
        </w:tc>
        <w:tc>
          <w:tcPr>
            <w:tcW w:w="14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8"/>
              </w:rPr>
              <w:t>162,668</w:t>
            </w:r>
          </w:p>
        </w:tc>
        <w:tc>
          <w:tcPr>
            <w:tcW w:w="320" w:type="dxa"/>
            <w:vAlign w:val="bottom"/>
          </w:tcPr>
          <w:p>
            <w:pPr>
              <w:spacing w:after="0"/>
              <w:rPr>
                <w:sz w:val="20"/>
                <w:szCs w:val="20"/>
                <w:color w:val="auto"/>
              </w:rPr>
            </w:pPr>
          </w:p>
        </w:tc>
      </w:tr>
    </w:tbl>
    <w:p>
      <w:pPr>
        <w:spacing w:after="0" w:line="21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expenses decreased in 2010 as compared with 2009 largely as a result of less expenses related to share-based compensation, consulting fees and advertising.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expenses were $162,793 for year ended December 31, 2010 a decrease from other income of $30,627 for same period ended 2009. We had $106,551 in interest expenses and an impairment of $59,083 for the year ended December 31, 2010, that resulted in the major difference between 2010 and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loss for the year ended December 31, 2010 was $2,009,024, compared to net loss of $4,555,689 for the year ended December 31, 2009.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2010, we had total current assets of $2,084,145 and total assets in the amount of $3,748,627. Our total current liabilities as of December 31, 2010 were $854,829. We had working capital of $1,229,316 as of December 31, 2010.</w:t>
      </w:r>
    </w:p>
    <w:p>
      <w:pPr>
        <w:spacing w:after="0" w:line="19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activities used $1,311,413 in cash for the year ended December 31, 2010. Our net loss of $2,009,024 was the primary component of our negative operating cash flow, offset mainly by $281,140 in stock issued for services, $186,425 in stock warrants issued for services and a $225,720 increase in deferred revenue. Investing activities used $225,637 during the year ended December 31, 2010 largely as a result of website development costs. Financing activities provided $2,158,750 for the year ended December 31, 2010 largely as a result of the sale of our Series B Preferred Stock and proceeds from a note payable.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5, 2010, we issued a secured promissory note (the “Note”) in the principal amount of $1,000,000 to Physicians Interactive, Inc., a Delaware corporation (the “Investor”). The Investor also received a seven year warrant to purchase up to 1,000,000 shares of our common stock at an initial exercise price of $2.25 per share and a contingent seven year warrant to purchase up to an aggregate of 1,000,000 shares of our common stock at an initial exercise price of $2.00 based on royalties we may receive under a Strategic Partnering Agreement we entered into with Physicians Interactive Holdings, LLC (together the “Warrants”).</w:t>
      </w:r>
    </w:p>
    <w:p>
      <w:pPr>
        <w:spacing w:after="0" w:line="21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Note accrues interest at a rate of 6% per annum, compounded on April and October each year, which will be paid together with the repayment of the principal amount at the earliest of (i) September 12, 2012; (ii) prepayment of the Note at our option (iii) the occurrence of an Event of Default (as defined in the Note); or (iv) the “Maturity Date” as defined in our Certificate of Designation for our Series B Convertible 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Notes and Warrants were issued pursuant to a Securities Purchase Agreement (the “Purchase Agreement”) dated as of October 5, 2010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The Investor is entitled to certain contractual benefits under the Purchase Agreement, which are summarized as follows:</w:t>
      </w:r>
    </w:p>
    <w:p>
      <w:pPr>
        <w:spacing w:after="0" w:line="238" w:lineRule="exact"/>
        <w:rPr>
          <w:sz w:val="20"/>
          <w:szCs w:val="20"/>
          <w:color w:val="auto"/>
        </w:rPr>
      </w:pPr>
    </w:p>
    <w:p>
      <w:pPr>
        <w:ind w:left="660" w:hanging="18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Until June 4, 2012 or until prepayment in full of all obligations under the Note, the right, subject to certain exceptions, to participate in any subsequent sale of our common stock or any securities convertible into our common stock up to 30% of the amount of the financing;</w:t>
      </w:r>
    </w:p>
    <w:p>
      <w:pPr>
        <w:spacing w:after="0" w:line="173" w:lineRule="exact"/>
        <w:rPr>
          <w:rFonts w:ascii="Arial" w:cs="Arial" w:eastAsia="Arial" w:hAnsi="Arial"/>
          <w:sz w:val="17"/>
          <w:szCs w:val="17"/>
          <w:color w:val="auto"/>
        </w:rPr>
      </w:pPr>
    </w:p>
    <w:p>
      <w:pPr>
        <w:ind w:left="660" w:hanging="18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any time when the Note is outstanding, the right to nominate a designee of Investor for election to our Board of Directors and to provide such nominee with D&amp;O insurance coverage;</w:t>
      </w:r>
    </w:p>
    <w:p>
      <w:pPr>
        <w:spacing w:after="0" w:line="197" w:lineRule="exact"/>
        <w:rPr>
          <w:rFonts w:ascii="Arial" w:cs="Arial" w:eastAsia="Arial" w:hAnsi="Arial"/>
          <w:sz w:val="18"/>
          <w:szCs w:val="18"/>
          <w:color w:val="auto"/>
        </w:rPr>
      </w:pPr>
    </w:p>
    <w:p>
      <w:pPr>
        <w:jc w:val="both"/>
        <w:ind w:left="660" w:hanging="184"/>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At any time when the Note is outstanding, we are prohibited from: issuing dividends or repurchasing our outstanding shares, incurring certain indebtedness, issuing securities that are senior to the Note; disposing of 20% of our assets; incurring a change in control; increasing the authorized size of our Board of Directors; entering into certain transactions with affiliates; or registering certain shares; and</w:t>
      </w:r>
    </w:p>
    <w:p>
      <w:pPr>
        <w:spacing w:after="0" w:line="192" w:lineRule="exact"/>
        <w:rPr>
          <w:rFonts w:ascii="Arial" w:cs="Arial" w:eastAsia="Arial" w:hAnsi="Arial"/>
          <w:sz w:val="17"/>
          <w:szCs w:val="17"/>
          <w:color w:val="auto"/>
        </w:rPr>
      </w:pPr>
    </w:p>
    <w:p>
      <w:pPr>
        <w:jc w:val="both"/>
        <w:ind w:left="660" w:right="20" w:hanging="18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and continuance of an Event of Default (as defined in the Purchase Agreement), the Investor may at any time (unless all defaults shall theretofore have been remedied) require us to pay immediately 125% of the sum of all unpaid principal on the Note plus all accrued but unpaid interest and other amounts payable thereunder.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wholly-owned subsidiary, OptimizeRx Corporation, a Michigan corporation (the “Guarantor”), entered into a Guaranty Agreement (the “Guaranty”) with Investor to guarantee the prompt and complete payment when due of all principal, interest and other amounts under the Note. The obligations under the Guaranty are independent of our obligations under the Note and separate actions may be brought against the Guarantor.</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Vicis Capital Master Fund, a sub-trust of Vicis Capital Series Master Trust, a unit trust organized and existing under the laws of the Cayman Islands (“Vicis”) was instrumental in facilitating our $1,000,000 financing transaction with Investor by participating and by making certain concessions in our transaction documents with the Investor. As previously reported, we entered into two financing transactions with Vicis. The first was a Securities Purchase Agreement for the sale of Series A Convertible Preferred Stock dated as of September 8, 2008 and the second was a Securities Purchase Agreement dated as of June 4, 2010 for the sale of Series B Convertible Preferred Stock (the “Vicis Financings”). In connection with the Vicis Financings, we granted Vicis a security interest in our assets and further agreed to register certain shares brought about by the financings. In order to induce the Investor to enter into an agreement with us, Vicis agreed to modify its security agreement and registration rights agreement.</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Specifically, we entered into a Second Amended and Restated Security Agreement with Vicis and the Investor, which granted the parties a security interest in substantially all of our assets. The Guarantor also entered into a Second Amended and Restated Guarantor Security Agreement with Vicis and the Investor, which granted the parties a security interest in substantially all of the Guarantor’s assets.</w:t>
      </w:r>
    </w:p>
    <w:p>
      <w:pPr>
        <w:spacing w:after="0" w:line="2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further entered into an Amended and Restated Registration Rights Agreement with Vicis and the Investor to file a registration statement upon demand to cover the resale of the shares of our common stock issuable upon exercise of the Investor’s Warrants, the shares of our common stock issuable upon conversion of Vicis’ Series B Convertible Preferred Stock, and the shares of our common stock issuable as dividends on the Series B Convertible Preferred Stock.</w:t>
      </w:r>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were also a party to a Securityholders’ Agreement where Vicis and the Investor contracted over matters including, the maturity date for the Series A Convertible Preferred Stock and Series B Convertible Preferred Stock, preemptive rights for future financings, and voting rights for ominee directors. Finally, we were a party to an Intercreditor Agreement where Vicis and the Investor contracted over matters including, confirming the relative priority with respect to our collateral assets, providing for the orderly sharing of the proceeds of such assets, and agreeing upon the terms of the subordination of our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Also, as previously reported, during the year ended December 31, 2010, we issued 15 preferred shares for $1,500,000.</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December 31, 2010 with the current level of financing and cash on hand, we have sufficient cash to operate our business at the current level for the next twelve months but insufficient cash to achieve our business goals unless we: a) realize cash revenues on sales generated; b) meet the milestones as defined in the second round of financing with Vicis and satisfy the conditions to secure the second tranche of funding; and/or c) obtain additional financing through debt and/or equity based financing arrangements which may be insufficient to fund our capital expenditures, working capital, or other cash requirements. There can be no assurance that such additional financing will be available to us on acceptable terms, or at all.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2010, there were no off 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7" w:lineRule="exact"/>
        <w:rPr>
          <w:sz w:val="20"/>
          <w:szCs w:val="20"/>
          <w:color w:val="auto"/>
        </w:rPr>
      </w:pPr>
    </w:p>
    <w:p>
      <w:pPr>
        <w:ind w:right="5099"/>
        <w:spacing w:after="0" w:line="265" w:lineRule="auto"/>
        <w:rPr>
          <w:rFonts w:ascii="Arial" w:cs="Arial" w:eastAsia="Arial" w:hAnsi="Arial"/>
          <w:sz w:val="17"/>
          <w:szCs w:val="17"/>
          <w:u w:val="single" w:color="auto"/>
          <w:color w:val="0000EE"/>
        </w:rPr>
      </w:pPr>
      <w:hyperlink w:anchor="page23">
        <w:r>
          <w:rPr>
            <w:rFonts w:ascii="Arial" w:cs="Arial" w:eastAsia="Arial" w:hAnsi="Arial"/>
            <w:sz w:val="17"/>
            <w:szCs w:val="17"/>
            <w:u w:val="single" w:color="auto"/>
            <w:color w:val="0000EE"/>
          </w:rPr>
          <w:t>F-1 Report of Independent Registered Public Accounting Firm</w:t>
        </w:r>
      </w:hyperlink>
      <w:r>
        <w:rPr>
          <w:rFonts w:ascii="Arial" w:cs="Arial" w:eastAsia="Arial" w:hAnsi="Arial"/>
          <w:sz w:val="17"/>
          <w:szCs w:val="17"/>
          <w:u w:val="single" w:color="auto"/>
          <w:color w:val="0000EE"/>
        </w:rPr>
        <w:t xml:space="preserve"> </w:t>
      </w:r>
      <w:hyperlink w:anchor="page24">
        <w:r>
          <w:rPr>
            <w:rFonts w:ascii="Arial" w:cs="Arial" w:eastAsia="Arial" w:hAnsi="Arial"/>
            <w:sz w:val="17"/>
            <w:szCs w:val="17"/>
            <w:u w:val="single" w:color="auto"/>
            <w:color w:val="0000EE"/>
          </w:rPr>
          <w:t>F-2 Consolidated Balance Sheets as of December 31, 2010 and 2009</w:t>
        </w:r>
      </w:hyperlink>
      <w:r>
        <w:rPr>
          <w:rFonts w:ascii="Arial" w:cs="Arial" w:eastAsia="Arial" w:hAnsi="Arial"/>
          <w:sz w:val="17"/>
          <w:szCs w:val="17"/>
          <w:u w:val="single" w:color="auto"/>
          <w:color w:val="0000EE"/>
        </w:rPr>
        <w:t xml:space="preserve"> </w:t>
      </w:r>
      <w:hyperlink w:anchor="page25">
        <w:r>
          <w:rPr>
            <w:rFonts w:ascii="Arial" w:cs="Arial" w:eastAsia="Arial" w:hAnsi="Arial"/>
            <w:sz w:val="17"/>
            <w:szCs w:val="17"/>
            <w:u w:val="single" w:color="auto"/>
            <w:color w:val="0000EE"/>
          </w:rPr>
          <w:t>F-3 Consolidated Statements of Operations for the years ended</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32588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32588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274320"/>
                    </a:xfrm>
                    <a:prstGeom prst="rect">
                      <a:avLst/>
                    </a:prstGeom>
                    <a:noFill/>
                  </pic:spPr>
                </pic:pic>
              </a:graphicData>
            </a:graphic>
          </wp:anchor>
        </w:drawing>
      </w:r>
    </w:p>
    <w:p>
      <w:pPr>
        <w:ind w:left="4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December 31, 2010 and 2009</w:t>
        </w:r>
      </w:hyperlink>
    </w:p>
    <w:p>
      <w:pPr>
        <w:spacing w:after="0" w:line="9" w:lineRule="exact"/>
        <w:rPr>
          <w:rFonts w:ascii="Arial" w:cs="Arial" w:eastAsia="Arial" w:hAnsi="Arial"/>
          <w:sz w:val="17"/>
          <w:szCs w:val="17"/>
          <w:u w:val="single" w:color="auto"/>
          <w:color w:val="0000EE"/>
        </w:rPr>
      </w:pPr>
    </w:p>
    <w:p>
      <w:pPr>
        <w:spacing w:after="0"/>
        <w:tabs>
          <w:tab w:leader="none" w:pos="400" w:val="left"/>
        </w:tabs>
        <w:rPr>
          <w:rFonts w:ascii="Arial" w:cs="Arial" w:eastAsia="Arial" w:hAnsi="Arial"/>
          <w:sz w:val="16"/>
          <w:szCs w:val="16"/>
          <w:u w:val="single" w:color="auto"/>
          <w:color w:val="0000EE"/>
        </w:rPr>
      </w:pPr>
      <w:hyperlink w:anchor="page26">
        <w:r>
          <w:rPr>
            <w:rFonts w:ascii="Arial" w:cs="Arial" w:eastAsia="Arial" w:hAnsi="Arial"/>
            <w:sz w:val="18"/>
            <w:szCs w:val="18"/>
            <w:u w:val="single" w:color="auto"/>
            <w:color w:val="0000EE"/>
          </w:rPr>
          <w:t>F-4</w:t>
        </w:r>
      </w:hyperlink>
      <w:r>
        <w:rPr>
          <w:rFonts w:ascii="Arial" w:cs="Arial" w:eastAsia="Arial" w:hAnsi="Arial"/>
          <w:sz w:val="18"/>
          <w:szCs w:val="18"/>
          <w:u w:val="single" w:color="auto"/>
          <w:color w:val="0000EE"/>
        </w:rPr>
        <w:tab/>
      </w:r>
      <w:hyperlink w:anchor="page26">
        <w:r>
          <w:rPr>
            <w:rFonts w:ascii="Arial" w:cs="Arial" w:eastAsia="Arial" w:hAnsi="Arial"/>
            <w:sz w:val="16"/>
            <w:szCs w:val="16"/>
            <w:u w:val="single" w:color="auto"/>
            <w:color w:val="0000EE"/>
          </w:rPr>
          <w:t>Consolidated Statement of Stockholders’ Equity as of December</w:t>
        </w:r>
      </w:hyperlink>
    </w:p>
    <w:p>
      <w:pPr>
        <w:spacing w:after="0" w:line="9" w:lineRule="exact"/>
        <w:rPr>
          <w:sz w:val="20"/>
          <w:szCs w:val="20"/>
          <w:color w:val="auto"/>
        </w:rPr>
      </w:pPr>
    </w:p>
    <w:p>
      <w:pPr>
        <w:ind w:left="4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31, 2010</w:t>
        </w:r>
      </w:hyperlink>
    </w:p>
    <w:p>
      <w:pPr>
        <w:spacing w:after="0" w:line="9" w:lineRule="exact"/>
        <w:rPr>
          <w:sz w:val="20"/>
          <w:szCs w:val="20"/>
          <w:color w:val="auto"/>
        </w:rPr>
      </w:pPr>
    </w:p>
    <w:p>
      <w:pPr>
        <w:spacing w:after="0"/>
        <w:tabs>
          <w:tab w:leader="none" w:pos="400" w:val="left"/>
        </w:tabs>
        <w:rPr>
          <w:rFonts w:ascii="Arial" w:cs="Arial" w:eastAsia="Arial" w:hAnsi="Arial"/>
          <w:sz w:val="16"/>
          <w:szCs w:val="16"/>
          <w:u w:val="single" w:color="auto"/>
          <w:color w:val="0000EE"/>
        </w:rPr>
      </w:pPr>
      <w:hyperlink w:anchor="page28">
        <w:r>
          <w:rPr>
            <w:rFonts w:ascii="Arial" w:cs="Arial" w:eastAsia="Arial" w:hAnsi="Arial"/>
            <w:sz w:val="18"/>
            <w:szCs w:val="18"/>
            <w:u w:val="single" w:color="auto"/>
            <w:color w:val="0000EE"/>
          </w:rPr>
          <w:t>F-5</w:t>
        </w:r>
      </w:hyperlink>
      <w:r>
        <w:rPr>
          <w:rFonts w:ascii="Arial" w:cs="Arial" w:eastAsia="Arial" w:hAnsi="Arial"/>
          <w:sz w:val="18"/>
          <w:szCs w:val="18"/>
          <w:u w:val="single" w:color="auto"/>
          <w:color w:val="0000EE"/>
        </w:rPr>
        <w:tab/>
      </w:r>
      <w:hyperlink w:anchor="page28">
        <w:r>
          <w:rPr>
            <w:rFonts w:ascii="Arial" w:cs="Arial" w:eastAsia="Arial" w:hAnsi="Arial"/>
            <w:sz w:val="16"/>
            <w:szCs w:val="16"/>
            <w:u w:val="single" w:color="auto"/>
            <w:color w:val="0000EE"/>
          </w:rPr>
          <w:t>Consolidated Statements of Cash Flows for the year 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274320"/>
                    </a:xfrm>
                    <a:prstGeom prst="rect">
                      <a:avLst/>
                    </a:prstGeom>
                    <a:noFill/>
                  </pic:spPr>
                </pic:pic>
              </a:graphicData>
            </a:graphic>
          </wp:anchor>
        </w:drawing>
      </w:r>
    </w:p>
    <w:p>
      <w:pPr>
        <w:ind w:left="4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December 31, 2010 and 2009</w:t>
        </w:r>
      </w:hyperlink>
    </w:p>
    <w:p>
      <w:pPr>
        <w:spacing w:after="0" w:line="9" w:lineRule="exact"/>
        <w:rPr>
          <w:sz w:val="20"/>
          <w:szCs w:val="20"/>
          <w:color w:val="auto"/>
        </w:rPr>
      </w:pPr>
    </w:p>
    <w:p>
      <w:pPr>
        <w:spacing w:after="0"/>
        <w:tabs>
          <w:tab w:leader="none" w:pos="400" w:val="left"/>
        </w:tabs>
        <w:rPr>
          <w:rFonts w:ascii="Arial" w:cs="Arial" w:eastAsia="Arial" w:hAnsi="Arial"/>
          <w:sz w:val="16"/>
          <w:szCs w:val="16"/>
          <w:u w:val="single" w:color="auto"/>
          <w:color w:val="0000EE"/>
        </w:rPr>
      </w:pPr>
      <w:hyperlink w:anchor="page29">
        <w:r>
          <w:rPr>
            <w:rFonts w:ascii="Arial" w:cs="Arial" w:eastAsia="Arial" w:hAnsi="Arial"/>
            <w:sz w:val="18"/>
            <w:szCs w:val="18"/>
            <w:u w:val="single" w:color="auto"/>
            <w:color w:val="0000EE"/>
          </w:rPr>
          <w:t>F-6</w:t>
        </w:r>
      </w:hyperlink>
      <w:r>
        <w:rPr>
          <w:rFonts w:ascii="Arial" w:cs="Arial" w:eastAsia="Arial" w:hAnsi="Arial"/>
          <w:sz w:val="18"/>
          <w:szCs w:val="18"/>
          <w:u w:val="single" w:color="auto"/>
          <w:color w:val="0000EE"/>
        </w:rPr>
        <w:tab/>
      </w:r>
      <w:hyperlink w:anchor="page29">
        <w:r>
          <w:rPr>
            <w:rFonts w:ascii="Arial" w:cs="Arial" w:eastAsia="Arial" w:hAnsi="Arial"/>
            <w:sz w:val="16"/>
            <w:szCs w:val="16"/>
            <w:u w:val="single" w:color="auto"/>
            <w:color w:val="0000EE"/>
          </w:rPr>
          <w:t>Consolidated Notes to Financial Statements</w:t>
        </w:r>
      </w:hyperlink>
    </w:p>
    <w:p>
      <w:pPr>
        <w:spacing w:after="0" w:line="38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www.sucpas.com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2010 and 2009, and the related consolidated statements of operations, stockholders’ equity, and cash flows for the years then ended. These financial statements are the responsibility of the Companies management. Our responsibility is to express an opinion on these financial statements based on our audits.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2010 and 2009 and the results of their operations and cash flows for the years then ended, in conformity with accounting principles generally accepted in the United States.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OptimizeRx Corporation will continue as a going concern. As discussed in Note 17 to the financial statements, the Company has limited working capital, has received limited revenue from sales of products or services, and has incurred losses from operations. These factors raise substantial doubt about the Company’s ability to continue as a going concern. Management’s plans with regard to these matters are described in Note 17. The accompanying consolidated financial statements do not include any adjustments that might result from the outcome of this uncertainty.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2010 AND 2009</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1,278,094</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Account receivable – trade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226,000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80,051</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Debt discount – current portion</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2,084,145</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13,061</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Web development costs, net</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332,107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Patent rights and intangible assets, net</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902,647</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Debt discount – net of current portion</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416,667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1,651,421</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3,748,627</w:t>
            </w:r>
          </w:p>
        </w:tc>
        <w:tc>
          <w:tcPr>
            <w:tcW w:w="1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890,142</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82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225,720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related party</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570,000</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854,829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1,854,829</w:t>
            </w: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tcBorders>
              <w:top w:val="single" w:sz="8" w:color="CCEEFF"/>
            </w:tcBorders>
          </w:tcPr>
          <w:p>
            <w:pPr>
              <w:jc w:val="center"/>
              <w:ind w:right="1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$.001, 500,000,000 shares authorized, 13,606,676 shares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(12,826,117 – 2009)</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13,607</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0"/>
              </w:rPr>
              <w:t>Preferred stock, par $.001, 10,000,000 shares authorized, 50 shares issued and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outstanding (35 – 2009)</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Stock warrants</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20,281,328</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18,139,252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3,355,615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1,747,962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(21,756,752)</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(19,047,728)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1,893,798</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3,748,627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AND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Year ended</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December</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December</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31, 2010</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31, 2009</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REVENUES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71,065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26,723</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Salaries, wages, taxes and benefits</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803,774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524,632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to employees</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1,321,226</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Consulting fees</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355,929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1,554,415</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130,061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686,545</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213,970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154,752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Travel</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58,132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76,142</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Investor relations</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53,450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119,083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32,516</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78,437</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39,388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22,328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Website maintenance</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22,480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15,801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53,449</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162,668</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1,917,296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4,613,039</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NET OPERATING LOSS</w:t>
            </w:r>
          </w:p>
        </w:tc>
        <w:tc>
          <w:tcPr>
            <w:tcW w:w="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(1,846,231)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3"/>
              </w:rPr>
              <w:t>(4,586,316)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30,189</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(106,551)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(EXPENSES)</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(162,793)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30,627</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(2,009,024)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(4,555,689)</w:t>
            </w:r>
          </w:p>
        </w:tc>
        <w:tc>
          <w:tcPr>
            <w:tcW w:w="17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(2,009,024)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(4,555,689)</w:t>
            </w:r>
          </w:p>
        </w:tc>
        <w:tc>
          <w:tcPr>
            <w:tcW w:w="17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13,231,341</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12,583,841</w:t>
            </w:r>
          </w:p>
        </w:tc>
        <w:tc>
          <w:tcPr>
            <w:tcW w:w="17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vMerge w:val="continue"/>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7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720" w:type="dxa"/>
            <w:vAlign w:val="bottom"/>
          </w:tcPr>
          <w:p>
            <w:pPr>
              <w:spacing w:after="0"/>
              <w:rPr>
                <w:sz w:val="24"/>
                <w:szCs w:val="24"/>
                <w:color w:val="auto"/>
              </w:rPr>
            </w:pPr>
          </w:p>
        </w:tc>
        <w:tc>
          <w:tcPr>
            <w:tcW w:w="7020" w:type="dxa"/>
            <w:vAlign w:val="bottom"/>
            <w:gridSpan w:val="4"/>
          </w:tcPr>
          <w:p>
            <w:pPr>
              <w:ind w:left="1400"/>
              <w:spacing w:after="0"/>
              <w:rPr>
                <w:sz w:val="20"/>
                <w:szCs w:val="20"/>
                <w:color w:val="auto"/>
              </w:rPr>
            </w:pPr>
            <w:r>
              <w:rPr>
                <w:rFonts w:ascii="Arial" w:cs="Arial" w:eastAsia="Arial" w:hAnsi="Arial"/>
                <w:sz w:val="18"/>
                <w:szCs w:val="18"/>
                <w:color w:val="auto"/>
                <w:w w:val="96"/>
              </w:rPr>
              <w:t>The accompanying notes are an integral part of the financial statements.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720" w:type="dxa"/>
            <w:vAlign w:val="bottom"/>
          </w:tcPr>
          <w:p>
            <w:pPr>
              <w:spacing w:after="0"/>
              <w:rPr>
                <w:sz w:val="24"/>
                <w:szCs w:val="24"/>
                <w:color w:val="auto"/>
              </w:rPr>
            </w:pPr>
          </w:p>
        </w:tc>
        <w:tc>
          <w:tcPr>
            <w:tcW w:w="5980" w:type="dxa"/>
            <w:vAlign w:val="bottom"/>
          </w:tcPr>
          <w:p>
            <w:pPr>
              <w:ind w:left="3860"/>
              <w:spacing w:after="0"/>
              <w:rPr>
                <w:sz w:val="20"/>
                <w:szCs w:val="20"/>
                <w:color w:val="auto"/>
              </w:rPr>
            </w:pPr>
            <w:r>
              <w:rPr>
                <w:rFonts w:ascii="Arial" w:cs="Arial" w:eastAsia="Arial" w:hAnsi="Arial"/>
                <w:sz w:val="18"/>
                <w:szCs w:val="18"/>
                <w:color w:val="auto"/>
              </w:rPr>
              <w:t>F-3</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AS OF DECEMBER 31, 2010</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Common Stock</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Preferred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Paid in</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1"/>
              </w:rPr>
              <w:t>Accumulated</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Amount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Shares</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Warrants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December 31,</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12,262,958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$ 12,263</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$16,905,280</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 (14,492,039)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$ 2,425,504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Outstanding share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(86,749)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w w:val="98"/>
              </w:rPr>
              <w:t>common stock for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284,000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1,007,956</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1,008,240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and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options to</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1,321,226</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1,321,226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warrants and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options for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618,031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618,031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stock warrants to</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365,908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(705,285)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739,919</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Net loss for the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gridSpan w:val="2"/>
          </w:tcPr>
          <w:p>
            <w:pPr>
              <w:jc w:val="right"/>
              <w:ind w:right="970"/>
              <w:spacing w:after="0"/>
              <w:rPr>
                <w:sz w:val="20"/>
                <w:szCs w:val="20"/>
                <w:color w:val="auto"/>
              </w:rPr>
            </w:pPr>
            <w:r>
              <w:rPr>
                <w:rFonts w:ascii="Arial" w:cs="Arial" w:eastAsia="Arial" w:hAnsi="Arial"/>
                <w:sz w:val="18"/>
                <w:szCs w:val="18"/>
                <w:color w:val="auto"/>
                <w:w w:val="84"/>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(4,555,689)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(4,555,689)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jc w:val="right"/>
              <w:ind w:right="970"/>
              <w:spacing w:after="0"/>
              <w:rPr>
                <w:sz w:val="20"/>
                <w:szCs w:val="20"/>
                <w:color w:val="auto"/>
              </w:rPr>
            </w:pPr>
            <w:r>
              <w:rPr>
                <w:rFonts w:ascii="Arial" w:cs="Arial" w:eastAsia="Arial" w:hAnsi="Arial"/>
                <w:sz w:val="18"/>
                <w:szCs w:val="18"/>
                <w:color w:val="auto"/>
                <w:w w:val="84"/>
              </w:rPr>
              <w:t>2009</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12,826,117</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12,826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18,139,252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1,747,962</w:t>
            </w:r>
          </w:p>
        </w:tc>
        <w:tc>
          <w:tcPr>
            <w:tcW w:w="1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(19,047,728)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852,312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3"/>
              </w:rPr>
              <w:t>Outstanding share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for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57,425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Stock warrants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converted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43,039</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(153,816)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153,773</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for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w w:val="99"/>
              </w:rPr>
              <w:t>board of directors</w:t>
            </w:r>
          </w:p>
        </w:tc>
        <w:tc>
          <w:tcPr>
            <w:tcW w:w="880" w:type="dxa"/>
            <w:vAlign w:val="bottom"/>
          </w:tcPr>
          <w:p>
            <w:pPr>
              <w:jc w:val="right"/>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130,614</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130,680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for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42,475</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w w:val="98"/>
              </w:rPr>
              <w:t>options to acquire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patent rights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360,000</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to</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settle dividends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5"/>
              </w:rPr>
              <w:t>on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236,598</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524,763</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Stock warrants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converted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(57,425)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66,150</w:t>
            </w:r>
          </w:p>
        </w:tc>
        <w:tc>
          <w:tcPr>
            <w:tcW w:w="1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1,500,000</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Preferred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in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1,158,900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(1,158,900)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129,000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129,000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warrants for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common stock for</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options to</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stock</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and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contingent 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warrants in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debt financing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1,007,992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1,007,992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common stock to</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29,976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common stock to</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settle dividends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5"/>
              </w:rPr>
              <w:t>on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174,826</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Net loss for the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year ended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gridSpan w:val="2"/>
          </w:tcPr>
          <w:p>
            <w:pPr>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(2,009,024)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(2,009,024)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13,606,676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$ 13,607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20,281,328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$ 3,355,615</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 (21,756,752)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$ 1,893,798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2010 AND 2009</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 for the period</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(2,009,024)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(4,555,689)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Adjustments to Reconcile Net Loss to Net Cash Used in Operating</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Impairment of website asset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59,083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 issued for services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Stock options issued for compensation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warrants issued for services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Interest related to issuance of warrants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debt discount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in accounts receivable – trade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Decrease in accounts receivable - employee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in prepaid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Increase (decrease) in accounts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Increase (decrease) in accrued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Increase in accrued interest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Increase in 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225,720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(1,311,413)</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(1,769,562)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Acquisitions of property and equipment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Web development costs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(224,407)</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(225,637)</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Proceeds from note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Repayments of notes payable – related parties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00"/>
              <w:spacing w:after="0"/>
              <w:rPr>
                <w:sz w:val="20"/>
                <w:szCs w:val="20"/>
                <w:color w:val="auto"/>
              </w:rPr>
            </w:pPr>
            <w:r>
              <w:rPr>
                <w:rFonts w:ascii="Arial" w:cs="Arial" w:eastAsia="Arial" w:hAnsi="Arial"/>
                <w:sz w:val="18"/>
                <w:szCs w:val="18"/>
                <w:color w:val="auto"/>
              </w:rPr>
              <w:t>Net proceeds from sale of preferred stock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1,150,000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Proceeds from conversion of stock warrants to common stock</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2,158,750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621,700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(1,846,262)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656,394</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 End of year</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1,278,094</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656,394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tcBorders>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0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p>
      <w:pPr>
        <w:ind w:left="1720" w:right="540"/>
        <w:spacing w:after="0" w:line="261" w:lineRule="auto"/>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2" w:lineRule="exact"/>
        <w:rPr>
          <w:sz w:val="20"/>
          <w:szCs w:val="20"/>
          <w:color w:val="auto"/>
        </w:rPr>
      </w:pPr>
    </w:p>
    <w:p>
      <w:pPr>
        <w:ind w:left="1720" w:right="320"/>
        <w:spacing w:after="0" w:line="264" w:lineRule="auto"/>
        <w:rPr>
          <w:sz w:val="20"/>
          <w:szCs w:val="20"/>
          <w:color w:val="auto"/>
        </w:rPr>
      </w:pPr>
      <w:r>
        <w:rPr>
          <w:rFonts w:ascii="Arial" w:cs="Arial" w:eastAsia="Arial" w:hAnsi="Arial"/>
          <w:sz w:val="18"/>
          <w:szCs w:val="18"/>
          <w:color w:val="auto"/>
        </w:rPr>
        <w:t>Stock options issued in connection with acquisition of patent rights Payable to shareholder to be settled in stock issued in connection with acquisition of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-287020</wp:posOffset>
            </wp:positionV>
            <wp:extent cx="506857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Debt discount related to warrants issued in connection with debt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29210</wp:posOffset>
            </wp:positionV>
            <wp:extent cx="506857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6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Stock warrants issued in connection with preferred stock issuance</w:t>
      </w:r>
    </w:p>
    <w:p>
      <w:pPr>
        <w:spacing w:after="0" w:line="63"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Common stock issued to satisfy dividends related to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22225</wp:posOffset>
            </wp:positionV>
            <wp:extent cx="50685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Common stock issued for services and classified as prepaid expense</w:t>
      </w:r>
    </w:p>
    <w:p>
      <w:pPr>
        <w:spacing w:after="0" w:line="7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Non-cash conversions of stock warrants to common stock</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1,158,900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211,241</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705,285</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080" w:space="60"/>
            <w:col w:w="3079"/>
          </w:cols>
          <w:pgMar w:left="240" w:top="121" w:right="1440" w:bottom="1440" w:gutter="0" w:footer="0" w:header="0"/>
          <w:type w:val="continuous"/>
        </w:sectPr>
      </w:pPr>
    </w:p>
    <w:p>
      <w:pPr>
        <w:spacing w:after="0" w:line="29"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The accompanying notes are an integral part of the financial statements.</w:t>
      </w:r>
    </w:p>
    <w:p>
      <w:pPr>
        <w:sectPr>
          <w:pgSz w:w="11900" w:h="16838" w:orient="portrait"/>
          <w:cols w:equalWidth="0" w:num="1">
            <w:col w:w="10219"/>
          </w:cols>
          <w:pgMar w:left="240" w:top="121" w:right="1440" w:bottom="1440" w:gutter="0" w:footer="0" w:header="0"/>
          <w:type w:val="continuous"/>
        </w:sectPr>
      </w:pPr>
    </w:p>
    <w:p>
      <w:pPr>
        <w:spacing w:after="0" w:line="39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u w:val="single" w:color="auto"/>
          <w:color w:val="auto"/>
        </w:rPr>
        <w:t>Nature of Operations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October 22, 2007.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 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 or direct to physician channels for communicating and promoting their products. It provides health care providers a means to provide sampling and coupons without having to physically store samples on site, and it provides better access and affordability to the patents.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Development Stage in Prior Periods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OptimizeRx was in the development stage from October 3, 2008 to May 31, 2010. The year ending December 31, 2010 is the first year during which the Company is considered an operating company and is no longer in the development stage.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demand deposits with a financial institution. At December 31, 2010, the company’s cash balances exceed the FDIC insurance amount of $250,000. The Company believes there is minimal credit risk relative to its cash and investment accounts.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accounts payable, accrued expenses, accrued interest, deferred revenue, accounts payable – related party and notes payable approximate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capital assets are being depreciated over their estimated useful lives, three to seven years, using the straight line method of depreciation for book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and development team and monitor new technologies, trends, services and partnerships that can provide the Company with additional services, value to healthcare and pharmaceutical industries and to the patients we serve.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business both short term and long term. The primary goal is to help patients better afford and access the medications their doctors prescribe, as well as other healthcare products and services they need. Based on this, the Company continually seeks better ways to meet this mission through technology, better user experiences and new ways to engage industries to provide new support program for patients needing their products. The Company is always seeking new services and solutions to offer. At this time, the three current platforms provide robust opportunities and growth during the next five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the financial statements and the reported amount of revenues and expenses during the reporting period. Actual results could differ from those estimates.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December 31, 2010 and 2009, respectively, since their effect is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u w:val="single" w:color="auto"/>
          <w:color w:val="auto"/>
        </w:rPr>
        <w:t>Prepaid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4,794</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Web development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Employee advances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r>
      <w:tr>
        <w:trPr>
          <w:trHeight w:val="223"/>
        </w:trPr>
        <w:tc>
          <w:tcPr>
            <w:tcW w:w="20" w:type="dxa"/>
            <w:vAlign w:val="bottom"/>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80,051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8,092</w:t>
            </w: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u w:val="single" w:color="auto"/>
          <w:color w:val="auto"/>
        </w:rPr>
        <w:t>Property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recorded at cost and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12,594</w:t>
            </w: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4,293</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18,117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16,887</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3"/>
              </w:rPr>
              <w:t>Less: Accumulated depreciation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(5,056)</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(3,306)</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Property and equipment, net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13,581</w:t>
            </w: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$1,750 and $1,689 for the years ended December 31, 2010 and 2009,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u w:val="single" w:color="auto"/>
          <w:color w:val="auto"/>
        </w:rPr>
        <w:t>Web Development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Costs in developing the websites and web-based products have been capitalized and consist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OptimizeRx web development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154,133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shd w:val="clear" w:color="auto" w:fill="CCEEFF"/>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154,133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SampleMD web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332,107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107,700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3"/>
                <w:shd w:val="clear" w:color="auto" w:fill="CCEEFF"/>
              </w:rPr>
              <w:t>Subtotal, web development costs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486,240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261,833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6"/>
              </w:rPr>
              <w:t>Less: Accumulated amortization</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(95,050)</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(59,083)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Web development costs,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332,107</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197,610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began amortizing the OptimizeRx website costs, using the straight-line method over the estimated useful life of 5 years, once it was put into service in December of 2007. During the year end December 31, 2009, the Company began a new web-based project and the related programming and development costs have been capitalized for the SampleMD website. The project was completed in mid-December 2010 and no amortization was recorded in 2010. Amortization will begin on the straight-line method in January 2011 over the period of five years. The Company determined that the original OptimizeRx website was no longer useful so the remaining unamortized balance of $59,083 was impaired as of December 31, 2010. Amortization expense was $30,827 and $30,827 for the years ended December 31, 2010 and 2009,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u w:val="single" w:color="auto"/>
          <w:color w:val="auto"/>
        </w:rPr>
        <w:t>Patent Rights and Intangible Assets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acquiring the SampleMD patent, which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r>
      <w:tr>
        <w:trPr>
          <w:trHeight w:val="216"/>
        </w:trPr>
        <w:tc>
          <w:tcPr>
            <w:tcW w:w="20" w:type="dxa"/>
            <w:vAlign w:val="bottom"/>
          </w:tcPr>
          <w:p>
            <w:pPr>
              <w:spacing w:after="0"/>
              <w:rPr>
                <w:sz w:val="18"/>
                <w:szCs w:val="18"/>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Patent rights and intangible assets $</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w w:val="94"/>
              </w:rPr>
              <w:t>Less: Accumulated amortization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(27,353)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2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Patent rights and intangible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assets, net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902,647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Amortization expense was $27,353 and $0 for the years ended December 31, 2010 and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u w:val="single" w:color="auto"/>
          <w:color w:val="auto"/>
        </w:rPr>
        <w:t>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Accrued audit fees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4,500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3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4,606</w:t>
            </w: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u w:val="single" w:color="auto"/>
          <w:color w:val="auto"/>
        </w:rPr>
        <w:t>Deferred Revenue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As of December 31, 2010, $225,720 has been recorded as deferred revenue.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u w:val="single" w:color="auto"/>
          <w:color w:val="auto"/>
        </w:rPr>
        <w:t>Note Payable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5, 2010, the Company issued a promissory note for $1,000,000. The note accrues interest at 6% per annum, compounded in April and October each year and has a maturity date of September 12, 2012.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will be amortized over the life of the loan using the straight-line method and charged to interest expense. As of December 31, 2010, $83,333 had been amortized with the remaining balance of $916,667 to be amortized through October 5,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u w:val="single" w:color="auto"/>
          <w:color w:val="auto"/>
        </w:rPr>
        <w:t>Common Stock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2010. There were 13,606,676 and 12,826,117 common shares issued and outstanding at December 31, 2010 and 2009,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2009, 284,000 shares were issued as compensation for services valued at $1,008,240. There were 365,908 shares issued in a cashless exchange of common stock warrants during the year ended December 31,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2010, the Company issued 12,000 shares of common stock for services valued at $27,960.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April 20, 2010, the Company issued 66,000 shares to board members for services valued at $130,680.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on May 27, 2010, the Company issued 25,000 for services valued at $42,500.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September 27, 2010, the Company issued 100,000 shares of common stock for services valued at $100,000.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October 14, 2010, the Company issued 24,000 shares to a board member or advisory services valued at $30,000.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2010, the Company issued 410,520 shares of common stock to satisfy $700,000 of preferred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February 19, 2010, 75,400 stock warrants were exercised for 43,039 shares of common stock in a cashless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May 19, 2010, 25,000 stock warrants were exercised for 25,000 shares of common stock for total proceeds of $8,750.</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u w:val="single" w:color="auto"/>
          <w:color w:val="auto"/>
        </w:rPr>
        <w:t>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share of Series A preferred stock shall also be convertible at the option of the holder into that number of shares of common stock of the Company at the stated value of such share at a $1 conversion price.</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thirty days’ notice for the registration of the conversion.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As of December 31, 2010, there is an undeclared dividend of $110,274.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As of December 31, 2010, there is an undeclared dividend of $85,993.</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u w:val="single" w:color="auto"/>
          <w:color w:val="auto"/>
        </w:rPr>
        <w:t>Preferred Stock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 (continued)</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the Company has added at least 1,750 active physicians to the system, and added 35 brands, the Company may issue and sell at its option, and the Purchaser agrees to purchase, up to 15 shares of the Company’s Series B Preferred Stock at a subsequent date, provided that the date cannot occur earlier than November 1, 2010. If the conditions have not fulfilled prior to June 30, 2011, the Purchaser shall have no obligation to purchase any securities from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u w:val="single" w:color="auto"/>
          <w:color w:val="auto"/>
        </w:rPr>
        <w:t>Stock Options and Warrants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employee stock-based compensation in accordance with the guidance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w:t>
      </w:r>
      <w:r>
        <w:rPr>
          <w:rFonts w:ascii="Arial" w:cs="Arial" w:eastAsia="Arial" w:hAnsi="Arial"/>
          <w:sz w:val="16"/>
          <w:szCs w:val="16"/>
          <w:i w:val="1"/>
          <w:iCs w:val="1"/>
          <w:color w:val="auto"/>
        </w:rPr>
        <w:t>Accounting for Equity Instruments that are Issued to Other than Employees for Acquiring,</w:t>
      </w:r>
      <w:r>
        <w:rPr>
          <w:rFonts w:ascii="Arial" w:cs="Arial" w:eastAsia="Arial" w:hAnsi="Arial"/>
          <w:sz w:val="16"/>
          <w:szCs w:val="16"/>
          <w:color w:val="auto"/>
        </w:rPr>
        <w:t xml:space="preserve"> </w:t>
      </w:r>
      <w:r>
        <w:rPr>
          <w:rFonts w:ascii="Arial" w:cs="Arial" w:eastAsia="Arial" w:hAnsi="Arial"/>
          <w:sz w:val="16"/>
          <w:szCs w:val="16"/>
          <w:i w:val="1"/>
          <w:iCs w:val="1"/>
          <w:color w:val="auto"/>
        </w:rPr>
        <w:t>or in Conjunction with Selling Goods and Services</w:t>
      </w:r>
      <w:r>
        <w:rPr>
          <w:rFonts w:ascii="Arial" w:cs="Arial" w:eastAsia="Arial" w:hAnsi="Arial"/>
          <w:sz w:val="16"/>
          <w:szCs w:val="16"/>
          <w:color w:val="auto"/>
        </w:rPr>
        <w:t>,” for stock options and warrants issued to consultants and other non-employees. In accordance with ASC</w:t>
      </w:r>
      <w:r>
        <w:rPr>
          <w:rFonts w:ascii="Arial" w:cs="Arial" w:eastAsia="Arial" w:hAnsi="Arial"/>
          <w:sz w:val="16"/>
          <w:szCs w:val="16"/>
          <w:i w:val="1"/>
          <w:iCs w:val="1"/>
          <w:color w:val="auto"/>
        </w:rPr>
        <w:t xml:space="preserve"> </w:t>
      </w:r>
      <w:r>
        <w:rPr>
          <w:rFonts w:ascii="Arial" w:cs="Arial" w:eastAsia="Arial" w:hAnsi="Arial"/>
          <w:sz w:val="16"/>
          <w:szCs w:val="16"/>
          <w:color w:val="auto"/>
        </w:rPr>
        <w:t>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issued 300,000 stock warrants in connection with non-employee services. The Company also issued 750,000 options as part of employment agreements with various employees. The Company has accounted for these warrants as equity instruments in accordance with EITF 00-19 (ASC 815-40), Accounting for Derivative Financial Instruments Indexed to, and Potentially Settled in, a Company’s Own Stock, and as such, will be classified in stockholders’ equity as they meet the definition of “…indexed to the issuer’s stock” in EITF 01-06 (ASC 815-40) The Meaning of Indexed to a Company’s Own Stock. The Company has estimated the fair value of the options and warrants issued in connection with the non-employee services at $618,031, and the employment agreements at $1,321,226, as of December 31, 2009 using the Black-Scholes option pricing model.</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of each option and warrant granted in 2009 is estimated on the date of grant using the Black-Scholes option-pricing model with the following assumptions: dividend yield of 0%, expected volatility of 44% to 233%, risk-free interest rate of .04% to .15% and expected life of 60 months.</w:t>
      </w:r>
    </w:p>
    <w:p>
      <w:pPr>
        <w:spacing w:after="0" w:line="17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year ended December 31, 2009, the Company exchanged 173,000 common stock warrants with an exercise price of $1 and 108,908 common stock warrants with an exercise price of $2, for 365,908 shares of common stock in a cashless exchange. This exchange has been reflected in the Stockholders' equity for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6, 2010, the Company issued 25,000 stock warrants for services to a consultant with an exercise price of $0.35. The warrants were valued on the grant date using the Black-Scholes option-pricing model with the following assumptions: dividend yield of 0%, expected volatility of 259%, risk-free interest rate of 2.6% and expected life of 60 months. The Company recognized consulting expense of $57,425.</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4, 2010, the Company issued 3,000,000 stock warrants in connection with the preferred stock issuance with an exercise price of $3.00. The warrants were valued on the grant date using the Black-Scholes option-pricing model with the following assumptions: dividend yield of 0%, expected volatility of 260%, risk-free interest rate of 2.65% and expected life of 84 months. The Company recorded the stock warrants valued at $5,096,472 in an equity transaction.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u w:val="single" w:color="auto"/>
          <w:color w:val="auto"/>
        </w:rPr>
        <w:t>Stock Options and Warratns (continued)</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July 1, 2010, the Company issued 100,000 stock warrants for services to a consultant with an exercise price of $2.50. The warrants were valued on the grant date using the Black-Scholes option-pricing model with the following assumptions: dividend yield of 0%, expected volatility of 241%, risk-free interest rate of 1.26% and expected life of 60 months. The Company recognized consulting expense of $129,000.</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5, 2010, the Company issued 1,000,000 stock warrants and 1,000,000 contingent stock warrants in connection with the Company’s debt financing with an exercise price of $2.25. The warrants were valued on the grant date using the Black-Scholes option-pricing model with the following assumptions: dividend yield of 0%, expected volatility of 241%, risk-free interest rate of 1.83% and expected life of 84 months.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Company recorded $83,333 of the debt discount as interest expense in 2010 with the remaining balance of $916,667 to be amortized over the remaining term of the loan. See Note 9.</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2010, the Company issued 200,000 stock options to acquire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with an exercise price of $1.81. The options were valued on the grant date using the Black-Scholes option-pricing model with the following assumptions: dividend yield of 0%, expected volatility of 262%, risk-free interest rate of 2.54% and expected life of 60 months. The Company capitalized $360,000 as patent rights for these options.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their offices for $2,500 a month on a month-to-month rental.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u w:val="single" w:color="auto"/>
          <w:color w:val="auto"/>
        </w:rPr>
        <w:t>Related Party Transactions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a note payable to an officer of the Company for $4,000 at December 31, 2008 that was repaid along with all accrued interest during the year ended December 31, 2009.</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 See Note 6, 11 and 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u w:val="single" w:color="auto"/>
          <w:color w:val="auto"/>
        </w:rPr>
        <w:t>Major Customers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two major customers that accounted for approximately 55% of revenues for the years ended December 31, 2010. The Company expects to continue to maintain these relationships with the customers.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2010, the Company incurred a net loss of approximately $2,009,000 and therefore has no tax liability. The Company began operations in 2007 and has previous net operating loss carry-forwards of $9,350,000 through December 31, 2009. The cumulative loss of approximately $11,359,000 will be carried forward and can be used through the year 2030 to offset future taxable income. In the future, the cumulative net operating loss carry-forward for income tax purposes may differ from the cumulative financial statement loss due to timing differences between book and tax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at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Federal income tax benefit</w:t>
            </w:r>
          </w:p>
        </w:tc>
        <w:tc>
          <w:tcPr>
            <w:tcW w:w="200" w:type="dxa"/>
            <w:vAlign w:val="bottom"/>
          </w:tcPr>
          <w:p>
            <w:pPr>
              <w:spacing w:after="0"/>
              <w:rPr>
                <w:sz w:val="18"/>
                <w:szCs w:val="18"/>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80" w:type="dxa"/>
            <w:vAlign w:val="bottom"/>
            <w:gridSpan w:val="2"/>
          </w:tcPr>
          <w:p>
            <w:pPr>
              <w:spacing w:after="0"/>
              <w:rPr>
                <w:sz w:val="20"/>
                <w:szCs w:val="20"/>
                <w:color w:val="auto"/>
              </w:rPr>
            </w:pPr>
            <w:r>
              <w:rPr>
                <w:rFonts w:ascii="Arial" w:cs="Arial" w:eastAsia="Arial" w:hAnsi="Arial"/>
                <w:sz w:val="18"/>
                <w:szCs w:val="18"/>
                <w:color w:val="auto"/>
              </w:rPr>
              <w:t>attributable to:</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Current operations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ind w:left="32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(683,000)</w:t>
            </w: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(1,666,000)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Net provision for Federal income</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w w:val="90"/>
              </w:rPr>
              <w:t>Deferred tax asset attributable to:</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Net operating loss carryover $</w:t>
            </w:r>
          </w:p>
        </w:tc>
        <w:tc>
          <w:tcPr>
            <w:tcW w:w="1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3,862,000$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3,179,000</w:t>
            </w:r>
          </w:p>
        </w:tc>
        <w:tc>
          <w:tcPr>
            <w:tcW w:w="20" w:type="dxa"/>
            <w:vAlign w:val="bottom"/>
          </w:tcPr>
          <w:p>
            <w:pPr>
              <w:spacing w:after="0"/>
              <w:rPr>
                <w:sz w:val="18"/>
                <w:szCs w:val="18"/>
                <w:color w:val="auto"/>
              </w:rPr>
            </w:pPr>
          </w:p>
        </w:tc>
      </w:tr>
      <w:tr>
        <w:trPr>
          <w:trHeight w:val="223"/>
        </w:trPr>
        <w:tc>
          <w:tcPr>
            <w:tcW w:w="242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(3,862,000)</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(3,179,000)</w:t>
            </w:r>
          </w:p>
        </w:tc>
        <w:tc>
          <w:tcPr>
            <w:tcW w:w="20" w:type="dxa"/>
            <w:vAlign w:val="bottom"/>
          </w:tcPr>
          <w:p>
            <w:pPr>
              <w:spacing w:after="0"/>
              <w:rPr>
                <w:sz w:val="19"/>
                <w:szCs w:val="19"/>
                <w:color w:val="auto"/>
              </w:rPr>
            </w:pPr>
          </w:p>
        </w:tc>
      </w:tr>
      <w:tr>
        <w:trPr>
          <w:trHeight w:val="257"/>
        </w:trPr>
        <w:tc>
          <w:tcPr>
            <w:tcW w:w="2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$11,359,000 for Federal income tax reporting purposes are subject to annual limitations. Should a change in ownership occur net operating loss carry forwards may be limited as to use in future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b w:val="1"/>
          <w:bCs w:val="1"/>
          <w:u w:val="single" w:color="auto"/>
          <w:color w:val="auto"/>
        </w:rPr>
        <w:t>Going Concern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w:t>
      </w:r>
      <w:r>
        <w:rPr>
          <w:rFonts w:ascii="Arial" w:cs="Arial" w:eastAsia="Arial" w:hAnsi="Arial"/>
          <w:sz w:val="18"/>
          <w:szCs w:val="18"/>
          <w:b w:val="1"/>
          <w:bCs w:val="1"/>
          <w:u w:val="single" w:color="auto"/>
          <w:color w:val="auto"/>
        </w:rPr>
        <w:t>Subsequent Events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SFAS 165 (ASC 855-10) the Company has analyzed its operations subsequent to December 31, 2010 to March 25, 2011, the date these financial statements were issued, and have determined that it does not have any material subsequent events to disclose in these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307 and 308 of Regulation S-K during the fiscal year ending 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45"/>
        <w:spacing w:after="0" w:line="29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Securities Exchange Act of 1934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treasurer, as appropriate to allow timely decisions regarding required disclosure.</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2010. Based on their evaluation, they concluded that our disclosure controls and procedures were effective.</w:t>
      </w:r>
    </w:p>
    <w:p>
      <w:pPr>
        <w:spacing w:after="0" w:line="2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our financial reporting (as defined in Rules 13a-15(f) and 15d-15(f) of the Exchange Act). Our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we conducted an evaluation of the effectiveness of our internal control over financial reporting based on the criteria established in Internal Control – Integrated Framework issued by the Committee of Sponsoring Organizations of the Treadway Commission (“COSO”). Based on this evaluation under the criteria established in Internal Control – Integrated Framework, our management concluded that our internal control over financial reporting was effective as of December 31, 2010.</w:t>
      </w:r>
    </w:p>
    <w:p>
      <w:pPr>
        <w:spacing w:after="0" w:line="19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temporary rules of the Securities and Exchange Commission that permit us to provide only management’s report in this annual report.</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December 31, 2010.</w:t>
      </w:r>
    </w:p>
    <w:p>
      <w:pPr>
        <w:spacing w:after="0" w:line="248" w:lineRule="exact"/>
        <w:rPr>
          <w:sz w:val="20"/>
          <w:szCs w:val="20"/>
          <w:color w:val="auto"/>
        </w:rPr>
      </w:pPr>
    </w:p>
    <w:tbl>
      <w:tblPr>
        <w:tblLayout w:type="fixed"/>
        <w:tblInd w:w="2700" w:type="dxa"/>
        <w:tblCellMar>
          <w:top w:w="0" w:type="dxa"/>
          <w:left w:w="0" w:type="dxa"/>
          <w:bottom w:w="0" w:type="dxa"/>
          <w:right w:w="0" w:type="dxa"/>
        </w:tblCellMar>
      </w:tblPr>
      <w:tr>
        <w:trPr>
          <w:trHeight w:val="241"/>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Age</w:t>
            </w:r>
          </w:p>
        </w:tc>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1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President, Chief Executive Officer,</w:t>
            </w: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David Lester</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53</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Secretary and Director</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David A. Harrell</w:t>
            </w:r>
          </w:p>
        </w:tc>
        <w:tc>
          <w:tcPr>
            <w:tcW w:w="880" w:type="dxa"/>
            <w:vAlign w:val="bottom"/>
          </w:tcPr>
          <w:p>
            <w:pPr>
              <w:ind w:left="400"/>
              <w:spacing w:after="0"/>
              <w:rPr>
                <w:sz w:val="20"/>
                <w:szCs w:val="20"/>
                <w:color w:val="auto"/>
              </w:rPr>
            </w:pPr>
            <w:r>
              <w:rPr>
                <w:rFonts w:ascii="Arial" w:cs="Arial" w:eastAsia="Arial" w:hAnsi="Arial"/>
                <w:sz w:val="18"/>
                <w:szCs w:val="18"/>
                <w:color w:val="auto"/>
              </w:rPr>
              <w:t>45</w:t>
            </w:r>
          </w:p>
        </w:tc>
        <w:tc>
          <w:tcPr>
            <w:tcW w:w="3320" w:type="dxa"/>
            <w:vAlign w:val="bottom"/>
          </w:tcPr>
          <w:p>
            <w:pPr>
              <w:ind w:left="160"/>
              <w:spacing w:after="0"/>
              <w:rPr>
                <w:sz w:val="20"/>
                <w:szCs w:val="20"/>
                <w:color w:val="auto"/>
              </w:rPr>
            </w:pPr>
            <w:r>
              <w:rPr>
                <w:rFonts w:ascii="Arial" w:cs="Arial" w:eastAsia="Arial" w:hAnsi="Arial"/>
                <w:sz w:val="18"/>
                <w:szCs w:val="18"/>
                <w:color w:val="auto"/>
              </w:rPr>
              <w:t>Chairman and Director</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45</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 and VP of Sales</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Shad Shastney</w:t>
            </w:r>
          </w:p>
        </w:tc>
        <w:tc>
          <w:tcPr>
            <w:tcW w:w="880" w:type="dxa"/>
            <w:vAlign w:val="bottom"/>
          </w:tcPr>
          <w:p>
            <w:pPr>
              <w:ind w:left="400"/>
              <w:spacing w:after="0"/>
              <w:rPr>
                <w:sz w:val="20"/>
                <w:szCs w:val="20"/>
                <w:color w:val="auto"/>
              </w:rPr>
            </w:pPr>
            <w:r>
              <w:rPr>
                <w:rFonts w:ascii="Arial" w:cs="Arial" w:eastAsia="Arial" w:hAnsi="Arial"/>
                <w:sz w:val="18"/>
                <w:szCs w:val="18"/>
                <w:color w:val="auto"/>
              </w:rPr>
              <w:t>42</w:t>
            </w:r>
          </w:p>
        </w:tc>
        <w:tc>
          <w:tcPr>
            <w:tcW w:w="332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Shad Shastney</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Stastney is a member of and the chief operating officer for Vicis Capital, LLC, a company he jointly founded in 2004.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History, and from the Yale Law School in 1994 with a J.D. degree focusing on corporate and tax law.</w:t>
      </w:r>
    </w:p>
    <w:p>
      <w:pPr>
        <w:sectPr>
          <w:pgSz w:w="11900" w:h="16838" w:orient="portrait"/>
          <w:cols w:equalWidth="0" w:num="1">
            <w:col w:w="11420"/>
          </w:cols>
          <w:pgMar w:left="240" w:top="122"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four (4)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5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56"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a present or former director, executive officer, or employee: (1) any bankruptcy petition filed by or against any business of which such person was a general partner or executive officer either</w:t>
      </w:r>
    </w:p>
    <w:p>
      <w:pPr>
        <w:ind w:right="40"/>
        <w:spacing w:after="0" w:line="252" w:lineRule="auto"/>
        <w:rPr>
          <w:sz w:val="20"/>
          <w:szCs w:val="20"/>
          <w:color w:val="auto"/>
        </w:rPr>
      </w:pPr>
      <w:r>
        <w:rPr>
          <w:rFonts w:ascii="Arial" w:cs="Arial" w:eastAsia="Arial" w:hAnsi="Arial"/>
          <w:sz w:val="18"/>
          <w:szCs w:val="18"/>
          <w:color w:val="auto"/>
        </w:rPr>
        <w:t>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do not have a separately-designated standing audit committee.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do not have an audit committee financial expert because of the size of our company and our board of directors at this time. We believe that we do not require an audit committee financial expert at this time because we retain outside consultants who possess these attributes as needed.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2010, the board of directors:</w:t>
      </w:r>
    </w:p>
    <w:p>
      <w:pPr>
        <w:spacing w:after="0" w:line="252" w:lineRule="exact"/>
        <w:rPr>
          <w:sz w:val="20"/>
          <w:szCs w:val="20"/>
          <w:color w:val="auto"/>
        </w:rPr>
      </w:pPr>
    </w:p>
    <w:p>
      <w:pPr>
        <w:ind w:left="660" w:hanging="2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7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2010 to be included in this Annual Report on Form 10-K and filed with the Securities and Exchange Commission.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the following persons have failed to file, on a timely basis, the identified reports required by Section 16(a) of the Exchange Act during fiscal year ended December 31, 2010:</w:t>
      </w:r>
    </w:p>
    <w:p>
      <w:pPr>
        <w:spacing w:after="0" w:line="200" w:lineRule="exact"/>
        <w:rPr>
          <w:sz w:val="20"/>
          <w:szCs w:val="20"/>
          <w:color w:val="auto"/>
        </w:rPr>
      </w:pPr>
    </w:p>
    <w:p>
      <w:pPr>
        <w:spacing w:after="0" w:line="26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5"/>
              </w:rPr>
              <w:t>Number of</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Transactions not</w:t>
            </w:r>
          </w:p>
        </w:tc>
        <w:tc>
          <w:tcPr>
            <w:tcW w:w="1700" w:type="dxa"/>
            <w:vAlign w:val="bottom"/>
          </w:tcPr>
          <w:p>
            <w:pPr>
              <w:jc w:val="center"/>
              <w:ind w:left="30"/>
              <w:spacing w:after="0"/>
              <w:rPr>
                <w:sz w:val="20"/>
                <w:szCs w:val="20"/>
                <w:color w:val="auto"/>
              </w:rPr>
            </w:pPr>
            <w:r>
              <w:rPr>
                <w:rFonts w:ascii="Arial" w:cs="Arial" w:eastAsia="Arial" w:hAnsi="Arial"/>
                <w:sz w:val="18"/>
                <w:szCs w:val="18"/>
                <w:color w:val="auto"/>
                <w:w w:val="94"/>
              </w:rPr>
              <w:t>Known failures to</w:t>
            </w:r>
          </w:p>
        </w:tc>
      </w:tr>
      <w:tr>
        <w:trPr>
          <w:trHeight w:val="237"/>
        </w:trPr>
        <w:tc>
          <w:tcPr>
            <w:tcW w:w="20" w:type="dxa"/>
            <w:vAlign w:val="bottom"/>
          </w:tcPr>
          <w:p>
            <w:pPr>
              <w:spacing w:after="0"/>
              <w:rPr>
                <w:sz w:val="20"/>
                <w:szCs w:val="20"/>
                <w:color w:val="auto"/>
              </w:rPr>
            </w:pPr>
          </w:p>
        </w:tc>
        <w:tc>
          <w:tcPr>
            <w:tcW w:w="3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Name and principal position</w:t>
            </w:r>
          </w:p>
        </w:tc>
        <w:tc>
          <w:tcPr>
            <w:tcW w:w="1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late reports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timely reported</w:t>
            </w:r>
          </w:p>
        </w:tc>
        <w:tc>
          <w:tcPr>
            <w:tcW w:w="17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4"/>
              </w:rPr>
              <w:t>file a required form</w:t>
            </w: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Lester</w:t>
            </w:r>
          </w:p>
        </w:tc>
        <w:tc>
          <w:tcPr>
            <w:tcW w:w="152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79"/>
              </w:rPr>
              <w:t>0</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70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CEO and Director</w:t>
            </w: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David A. Harrell</w:t>
            </w:r>
          </w:p>
        </w:tc>
        <w:tc>
          <w:tcPr>
            <w:tcW w:w="1520" w:type="dxa"/>
            <w:vAlign w:val="bottom"/>
          </w:tcPr>
          <w:p>
            <w:pPr>
              <w:jc w:val="center"/>
              <w:ind w:left="70"/>
              <w:spacing w:after="0" w:line="201" w:lineRule="exact"/>
              <w:rPr>
                <w:sz w:val="20"/>
                <w:szCs w:val="20"/>
                <w:color w:val="auto"/>
              </w:rPr>
            </w:pPr>
            <w:r>
              <w:rPr>
                <w:rFonts w:ascii="Arial" w:cs="Arial" w:eastAsia="Arial" w:hAnsi="Arial"/>
                <w:sz w:val="18"/>
                <w:szCs w:val="18"/>
                <w:color w:val="auto"/>
                <w:w w:val="79"/>
              </w:rPr>
              <w:t>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79"/>
              </w:rPr>
              <w:t>1</w:t>
            </w:r>
          </w:p>
        </w:tc>
        <w:tc>
          <w:tcPr>
            <w:tcW w:w="170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Thomas E. Majerowicz</w:t>
            </w:r>
          </w:p>
        </w:tc>
        <w:tc>
          <w:tcPr>
            <w:tcW w:w="152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79"/>
              </w:rPr>
              <w:t>0</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70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Former Secretary and Director</w:t>
            </w: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Terence J. Hamilton</w:t>
            </w:r>
          </w:p>
        </w:tc>
        <w:tc>
          <w:tcPr>
            <w:tcW w:w="1520" w:type="dxa"/>
            <w:vAlign w:val="bottom"/>
          </w:tcPr>
          <w:p>
            <w:pPr>
              <w:jc w:val="center"/>
              <w:ind w:left="70"/>
              <w:spacing w:after="0" w:line="201" w:lineRule="exact"/>
              <w:rPr>
                <w:sz w:val="20"/>
                <w:szCs w:val="20"/>
                <w:color w:val="auto"/>
              </w:rPr>
            </w:pPr>
            <w:r>
              <w:rPr>
                <w:rFonts w:ascii="Arial" w:cs="Arial" w:eastAsia="Arial" w:hAnsi="Arial"/>
                <w:sz w:val="18"/>
                <w:szCs w:val="18"/>
                <w:color w:val="auto"/>
                <w:w w:val="79"/>
              </w:rPr>
              <w:t>0</w:t>
            </w: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700" w:type="dxa"/>
            <w:vAlign w:val="bottom"/>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VP of Sales and Director</w:t>
            </w: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Shad Shastney</w:t>
            </w:r>
          </w:p>
        </w:tc>
        <w:tc>
          <w:tcPr>
            <w:tcW w:w="152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79"/>
              </w:rPr>
              <w:t>1</w:t>
            </w: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70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9"/>
              </w:rPr>
              <w:t>0</w:t>
            </w: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2010, we had not adopted a Code of Ethics for Financial Executives, which would include our principal executive officer, principal financial officer, principal accounting officer or controller, or persons performing similar functions.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2010 and 2009.</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40" w:type="dxa"/>
            <w:vAlign w:val="bottom"/>
            <w:gridSpan w:val="4"/>
          </w:tcPr>
          <w:p>
            <w:pPr>
              <w:ind w:left="80"/>
              <w:spacing w:after="0"/>
              <w:rPr>
                <w:sz w:val="20"/>
                <w:szCs w:val="20"/>
                <w:color w:val="auto"/>
              </w:rPr>
            </w:pPr>
            <w:r>
              <w:rPr>
                <w:rFonts w:ascii="Arial" w:cs="Arial" w:eastAsia="Arial" w:hAnsi="Arial"/>
                <w:sz w:val="18"/>
                <w:szCs w:val="18"/>
                <w:b w:val="1"/>
                <w:bCs w:val="1"/>
                <w:color w:val="auto"/>
              </w:rPr>
              <w:t>SUMMARY COMPENSATION TABLE</w:t>
            </w: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Nonqualified</w:t>
            </w: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Name</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and</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980" w:type="dxa"/>
            <w:vAlign w:val="bottom"/>
          </w:tcPr>
          <w:p>
            <w:pPr>
              <w:ind w:left="220"/>
              <w:spacing w:after="0"/>
              <w:rPr>
                <w:sz w:val="20"/>
                <w:szCs w:val="20"/>
                <w:color w:val="auto"/>
              </w:rPr>
            </w:pPr>
            <w:r>
              <w:rPr>
                <w:rFonts w:ascii="Arial" w:cs="Arial" w:eastAsia="Arial" w:hAnsi="Arial"/>
                <w:sz w:val="18"/>
                <w:szCs w:val="18"/>
                <w:color w:val="auto"/>
              </w:rPr>
              <w:t>Option</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All Other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principal</w:t>
            </w:r>
          </w:p>
        </w:tc>
        <w:tc>
          <w:tcPr>
            <w:tcW w:w="4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Salary</w:t>
            </w:r>
          </w:p>
        </w:tc>
        <w:tc>
          <w:tcPr>
            <w:tcW w:w="620" w:type="dxa"/>
            <w:vAlign w:val="bottom"/>
          </w:tcPr>
          <w:p>
            <w:pPr>
              <w:ind w:left="60"/>
              <w:spacing w:after="0"/>
              <w:rPr>
                <w:sz w:val="20"/>
                <w:szCs w:val="20"/>
                <w:color w:val="auto"/>
              </w:rPr>
            </w:pPr>
            <w:r>
              <w:rPr>
                <w:rFonts w:ascii="Arial" w:cs="Arial" w:eastAsia="Arial" w:hAnsi="Arial"/>
                <w:sz w:val="18"/>
                <w:szCs w:val="18"/>
                <w:color w:val="auto"/>
              </w:rPr>
              <w:t>Bonus</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Awards</w:t>
            </w:r>
          </w:p>
        </w:tc>
        <w:tc>
          <w:tcPr>
            <w:tcW w:w="980" w:type="dxa"/>
            <w:vAlign w:val="bottom"/>
          </w:tcPr>
          <w:p>
            <w:pPr>
              <w:ind w:left="200"/>
              <w:spacing w:after="0"/>
              <w:rPr>
                <w:sz w:val="20"/>
                <w:szCs w:val="20"/>
                <w:color w:val="auto"/>
              </w:rPr>
            </w:pPr>
            <w:r>
              <w:rPr>
                <w:rFonts w:ascii="Arial" w:cs="Arial" w:eastAsia="Arial" w:hAnsi="Arial"/>
                <w:sz w:val="18"/>
                <w:szCs w:val="18"/>
                <w:color w:val="auto"/>
              </w:rPr>
              <w:t>Awards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Earnings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480" w:type="dxa"/>
            <w:vAlign w:val="bottom"/>
          </w:tcPr>
          <w:p>
            <w:pPr>
              <w:ind w:left="80"/>
              <w:spacing w:after="0"/>
              <w:rPr>
                <w:sz w:val="20"/>
                <w:szCs w:val="20"/>
                <w:color w:val="auto"/>
              </w:rPr>
            </w:pPr>
            <w:r>
              <w:rPr>
                <w:rFonts w:ascii="Arial" w:cs="Arial" w:eastAsia="Arial" w:hAnsi="Arial"/>
                <w:sz w:val="18"/>
                <w:szCs w:val="18"/>
                <w:color w:val="auto"/>
                <w:w w:val="99"/>
              </w:rPr>
              <w:t>Year</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800" w:type="dxa"/>
            <w:vAlign w:val="bottom"/>
          </w:tcPr>
          <w:p>
            <w:pPr>
              <w:ind w:left="60"/>
              <w:spacing w:after="0"/>
              <w:rPr>
                <w:sz w:val="20"/>
                <w:szCs w:val="20"/>
                <w:color w:val="auto"/>
              </w:rPr>
            </w:pPr>
            <w:r>
              <w:rPr>
                <w:rFonts w:ascii="Arial" w:cs="Arial" w:eastAsia="Arial" w:hAnsi="Arial"/>
                <w:sz w:val="18"/>
                <w:szCs w:val="18"/>
                <w:color w:val="auto"/>
              </w:rPr>
              <w:t>Total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7"/>
                <w:szCs w:val="17"/>
                <w:color w:val="auto"/>
                <w:w w:val="96"/>
              </w:rPr>
              <w:t>David Lester</w:t>
            </w:r>
            <w:r>
              <w:rPr>
                <w:rFonts w:ascii="Arial" w:cs="Arial" w:eastAsia="Arial" w:hAnsi="Arial"/>
                <w:sz w:val="23"/>
                <w:szCs w:val="23"/>
                <w:color w:val="auto"/>
                <w:w w:val="96"/>
                <w:vertAlign w:val="superscript"/>
              </w:rPr>
              <w:t>(1)</w:t>
            </w:r>
          </w:p>
        </w:tc>
        <w:tc>
          <w:tcPr>
            <w:tcW w:w="48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2009</w:t>
            </w:r>
          </w:p>
        </w:tc>
        <w:tc>
          <w:tcPr>
            <w:tcW w:w="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150,000</w:t>
            </w:r>
          </w:p>
        </w:tc>
        <w:tc>
          <w:tcPr>
            <w:tcW w:w="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7"/>
                <w:szCs w:val="17"/>
                <w:color w:val="auto"/>
                <w:w w:val="89"/>
              </w:rPr>
              <w:t>552,343</w:t>
            </w:r>
            <w:r>
              <w:rPr>
                <w:rFonts w:ascii="Arial" w:cs="Arial" w:eastAsia="Arial" w:hAnsi="Arial"/>
                <w:sz w:val="23"/>
                <w:szCs w:val="23"/>
                <w:color w:val="auto"/>
                <w:w w:val="89"/>
                <w:vertAlign w:val="superscript"/>
              </w:rPr>
              <w:t>(2)</w:t>
            </w:r>
          </w:p>
        </w:tc>
        <w:tc>
          <w:tcPr>
            <w:tcW w:w="12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702,343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2010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164,375</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32,580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207,955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CEO and</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Thomas E.</w:t>
            </w:r>
          </w:p>
        </w:tc>
        <w:tc>
          <w:tcPr>
            <w:tcW w:w="480" w:type="dxa"/>
            <w:vAlign w:val="bottom"/>
          </w:tcPr>
          <w:p>
            <w:pPr>
              <w:ind w:left="60"/>
              <w:spacing w:after="0" w:line="201" w:lineRule="exact"/>
              <w:rPr>
                <w:sz w:val="20"/>
                <w:szCs w:val="20"/>
                <w:color w:val="auto"/>
              </w:rPr>
            </w:pPr>
            <w:r>
              <w:rPr>
                <w:rFonts w:ascii="Arial" w:cs="Arial" w:eastAsia="Arial" w:hAnsi="Arial"/>
                <w:sz w:val="18"/>
                <w:szCs w:val="18"/>
                <w:color w:val="auto"/>
                <w:w w:val="99"/>
              </w:rPr>
              <w:t>2009</w:t>
            </w:r>
          </w:p>
        </w:tc>
        <w:tc>
          <w:tcPr>
            <w:tcW w:w="700" w:type="dxa"/>
            <w:vAlign w:val="bottom"/>
          </w:tcPr>
          <w:p>
            <w:pPr>
              <w:spacing w:after="0"/>
              <w:rPr>
                <w:sz w:val="17"/>
                <w:szCs w:val="17"/>
                <w:color w:val="auto"/>
              </w:rPr>
            </w:pP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line="202" w:lineRule="exact"/>
              <w:rPr>
                <w:sz w:val="20"/>
                <w:szCs w:val="20"/>
                <w:color w:val="auto"/>
              </w:rPr>
            </w:pPr>
            <w:r>
              <w:rPr>
                <w:rFonts w:ascii="Arial" w:cs="Arial" w:eastAsia="Arial" w:hAnsi="Arial"/>
                <w:sz w:val="17"/>
                <w:szCs w:val="17"/>
                <w:color w:val="auto"/>
                <w:w w:val="90"/>
              </w:rPr>
              <w:t>12,240</w:t>
            </w:r>
            <w:r>
              <w:rPr>
                <w:rFonts w:ascii="Arial" w:cs="Arial" w:eastAsia="Arial" w:hAnsi="Arial"/>
                <w:sz w:val="23"/>
                <w:szCs w:val="23"/>
                <w:color w:val="auto"/>
                <w:w w:val="90"/>
                <w:vertAlign w:val="superscript"/>
              </w:rPr>
              <w:t>(2)</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87"/>
              </w:rPr>
              <w:t>12,240</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Majerowicz</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2010</w:t>
            </w:r>
          </w:p>
        </w:tc>
        <w:tc>
          <w:tcPr>
            <w:tcW w:w="7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30,000</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30,000</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Former</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Terence J.</w:t>
            </w:r>
          </w:p>
        </w:tc>
        <w:tc>
          <w:tcPr>
            <w:tcW w:w="4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2009</w:t>
            </w: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123,500</w:t>
            </w: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7"/>
                <w:szCs w:val="17"/>
                <w:color w:val="auto"/>
                <w:w w:val="89"/>
              </w:rPr>
              <w:t>461,330</w:t>
            </w:r>
            <w:r>
              <w:rPr>
                <w:rFonts w:ascii="Arial" w:cs="Arial" w:eastAsia="Arial" w:hAnsi="Arial"/>
                <w:sz w:val="23"/>
                <w:szCs w:val="23"/>
                <w:color w:val="auto"/>
                <w:w w:val="89"/>
                <w:vertAlign w:val="superscript"/>
              </w:rPr>
              <w:t>(2)</w:t>
            </w: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584,830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Hamilton</w:t>
            </w: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2010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164,375</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25,500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43,440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VP of Sales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2"/>
              </w:rPr>
              <w:t>and Director</w:t>
            </w:r>
            <w:r>
              <w:rPr>
                <w:rFonts w:ascii="Arial" w:cs="Arial" w:eastAsia="Arial" w:hAnsi="Arial"/>
                <w:sz w:val="25"/>
                <w:szCs w:val="25"/>
                <w:color w:val="auto"/>
                <w:w w:val="92"/>
                <w:vertAlign w:val="superscript"/>
              </w:rPr>
              <w:t>(4)</w:t>
            </w:r>
          </w:p>
        </w:tc>
        <w:tc>
          <w:tcPr>
            <w:tcW w:w="4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David Harrell,</w:t>
            </w:r>
          </w:p>
        </w:tc>
        <w:tc>
          <w:tcPr>
            <w:tcW w:w="480" w:type="dxa"/>
            <w:vAlign w:val="bottom"/>
          </w:tcPr>
          <w:p>
            <w:pPr>
              <w:ind w:left="60"/>
              <w:spacing w:after="0" w:line="201" w:lineRule="exact"/>
              <w:rPr>
                <w:sz w:val="20"/>
                <w:szCs w:val="20"/>
                <w:color w:val="auto"/>
              </w:rPr>
            </w:pPr>
            <w:r>
              <w:rPr>
                <w:rFonts w:ascii="Arial" w:cs="Arial" w:eastAsia="Arial" w:hAnsi="Arial"/>
                <w:sz w:val="18"/>
                <w:szCs w:val="18"/>
                <w:color w:val="auto"/>
                <w:w w:val="99"/>
              </w:rPr>
              <w:t>2009</w:t>
            </w: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9"/>
              </w:rPr>
              <w:t>152,000</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0"/>
              </w:rPr>
              <w:t>70,000</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line="202" w:lineRule="exact"/>
              <w:rPr>
                <w:sz w:val="20"/>
                <w:szCs w:val="20"/>
                <w:color w:val="auto"/>
              </w:rPr>
            </w:pPr>
            <w:r>
              <w:rPr>
                <w:rFonts w:ascii="Arial" w:cs="Arial" w:eastAsia="Arial" w:hAnsi="Arial"/>
                <w:sz w:val="17"/>
                <w:szCs w:val="17"/>
                <w:color w:val="auto"/>
                <w:w w:val="89"/>
              </w:rPr>
              <w:t>307,553</w:t>
            </w:r>
            <w:r>
              <w:rPr>
                <w:rFonts w:ascii="Arial" w:cs="Arial" w:eastAsia="Arial" w:hAnsi="Arial"/>
                <w:sz w:val="23"/>
                <w:szCs w:val="23"/>
                <w:color w:val="auto"/>
                <w:w w:val="89"/>
                <w:vertAlign w:val="superscript"/>
              </w:rPr>
              <w:t>(2)</w:t>
            </w: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2"/>
              </w:rPr>
              <w:t>529,553</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9"/>
              </w:rPr>
              <w:t>Chairman and</w:t>
            </w: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2010</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165,640</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20,500</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43,440</w:t>
            </w:r>
          </w:p>
        </w:tc>
        <w:tc>
          <w:tcPr>
            <w:tcW w:w="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229,580</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Former</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8"/>
          <w:szCs w:val="18"/>
          <w:color w:val="auto"/>
        </w:rPr>
        <w:t>President and</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CEO</w:t>
      </w:r>
      <w:r>
        <w:rPr>
          <w:rFonts w:ascii="Arial" w:cs="Arial" w:eastAsia="Arial" w:hAnsi="Arial"/>
          <w:sz w:val="25"/>
          <w:szCs w:val="25"/>
          <w:color w:val="auto"/>
          <w:vertAlign w:val="superscript"/>
        </w:rPr>
        <w:t>(5)</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Mr. Lester has held office as our Chief Executive Officer since April 1, 2009.</w:t>
      </w:r>
    </w:p>
    <w:p>
      <w:pPr>
        <w:spacing w:after="0" w:line="19" w:lineRule="exact"/>
        <w:rPr>
          <w:sz w:val="20"/>
          <w:szCs w:val="20"/>
          <w:color w:val="auto"/>
        </w:rPr>
      </w:pPr>
    </w:p>
    <w:p>
      <w:pPr>
        <w:ind w:left="840" w:hanging="231"/>
        <w:spacing w:after="0" w:line="211" w:lineRule="auto"/>
        <w:tabs>
          <w:tab w:leader="none" w:pos="840" w:val="left"/>
        </w:tabs>
        <w:numPr>
          <w:ilvl w:val="1"/>
          <w:numId w:val="9"/>
        </w:numPr>
        <w:rPr>
          <w:rFonts w:ascii="Arial" w:cs="Arial" w:eastAsia="Arial" w:hAnsi="Arial"/>
          <w:sz w:val="25"/>
          <w:szCs w:val="25"/>
          <w:color w:val="auto"/>
          <w:vertAlign w:val="superscript"/>
        </w:rPr>
      </w:pPr>
      <w:r>
        <w:rPr>
          <w:rFonts w:ascii="Arial" w:cs="Arial" w:eastAsia="Arial" w:hAnsi="Arial"/>
          <w:sz w:val="18"/>
          <w:szCs w:val="18"/>
          <w:color w:val="auto"/>
        </w:rPr>
        <w:t>This amount reflects the dollar amount recognized for financial statement reporting purposes for the fiscal year indicated in accordance with SFAS No. 123R, Share Based Payments of awards of restricted stock and stock options, as applicable.</w:t>
      </w:r>
    </w:p>
    <w:p>
      <w:pPr>
        <w:spacing w:after="0" w:line="1" w:lineRule="exact"/>
        <w:rPr>
          <w:rFonts w:ascii="Arial" w:cs="Arial" w:eastAsia="Arial" w:hAnsi="Arial"/>
          <w:sz w:val="25"/>
          <w:szCs w:val="25"/>
          <w:color w:val="auto"/>
          <w:vertAlign w:val="superscript"/>
        </w:rPr>
      </w:pPr>
    </w:p>
    <w:p>
      <w:pPr>
        <w:ind w:left="840" w:hanging="245"/>
        <w:spacing w:after="0" w:line="180" w:lineRule="auto"/>
        <w:tabs>
          <w:tab w:leader="none" w:pos="8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Supplement.</w:t>
      </w:r>
    </w:p>
    <w:p>
      <w:pPr>
        <w:spacing w:after="0" w:line="2" w:lineRule="exact"/>
        <w:rPr>
          <w:rFonts w:ascii="Arial" w:cs="Arial" w:eastAsia="Arial" w:hAnsi="Arial"/>
          <w:sz w:val="25"/>
          <w:szCs w:val="25"/>
          <w:color w:val="auto"/>
          <w:vertAlign w:val="superscript"/>
        </w:rPr>
      </w:pPr>
    </w:p>
    <w:p>
      <w:pPr>
        <w:ind w:left="840" w:hanging="245"/>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Mr. Hamilton has held office as our VP of Sales since March 1, 2007.</w:t>
      </w:r>
    </w:p>
    <w:p>
      <w:pPr>
        <w:spacing w:after="0" w:line="2" w:lineRule="exact"/>
        <w:rPr>
          <w:rFonts w:ascii="Arial" w:cs="Arial" w:eastAsia="Arial" w:hAnsi="Arial"/>
          <w:sz w:val="24"/>
          <w:szCs w:val="24"/>
          <w:color w:val="auto"/>
          <w:vertAlign w:val="superscript"/>
        </w:rPr>
      </w:pPr>
    </w:p>
    <w:p>
      <w:pPr>
        <w:ind w:left="840" w:hanging="245"/>
        <w:spacing w:after="0" w:line="186" w:lineRule="auto"/>
        <w:tabs>
          <w:tab w:leader="none" w:pos="8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Mr. Harrell has held office as our Chairman since April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6, 2009, we entered into an employment agreement with Mr. Lester to serve as our Chief Executive Officer.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21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20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June 1, 2008, we entered into an employment agreement with Mr. Harrell to serve as our CEO. Mr. Harrell is no longer our CEO, but will be our Chairman and we intend to enter into an employment agreement with him in that capacity in the near future. The terms of his compensation as our CEO,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ectPr>
          <w:pgSz w:w="11900" w:h="16838" w:orient="portrait"/>
          <w:cols w:equalWidth="0" w:num="1">
            <w:col w:w="11400"/>
          </w:cols>
          <w:pgMar w:left="240" w:top="122" w:right="25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color w:val="auto"/>
              </w:rPr>
              <w:t>OPTION AWARDS</w:t>
            </w:r>
          </w:p>
        </w:tc>
        <w:tc>
          <w:tcPr>
            <w:tcW w:w="7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w w:val="94"/>
              </w:rPr>
              <w:t>STOCK AWARDS</w:t>
            </w:r>
          </w:p>
        </w:tc>
        <w:tc>
          <w:tcPr>
            <w:tcW w:w="880" w:type="dxa"/>
            <w:vAlign w:val="bottom"/>
            <w:tcBorders>
              <w:top w:val="single" w:sz="8" w:color="auto"/>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ind w:left="20"/>
              <w:spacing w:after="0" w:line="201" w:lineRule="exact"/>
              <w:rPr>
                <w:sz w:val="20"/>
                <w:szCs w:val="20"/>
                <w:color w:val="auto"/>
              </w:rPr>
            </w:pPr>
            <w:r>
              <w:rPr>
                <w:rFonts w:ascii="Arial" w:cs="Arial" w:eastAsia="Arial" w:hAnsi="Arial"/>
                <w:sz w:val="18"/>
                <w:szCs w:val="18"/>
                <w:color w:val="auto"/>
              </w:rPr>
              <w:t>Equity</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Equity</w:t>
            </w:r>
          </w:p>
        </w:tc>
        <w:tc>
          <w:tcPr>
            <w:tcW w:w="880" w:type="dxa"/>
            <w:vAlign w:val="bottom"/>
          </w:tcPr>
          <w:p>
            <w:pPr>
              <w:ind w:left="20"/>
              <w:spacing w:after="0"/>
              <w:rPr>
                <w:sz w:val="20"/>
                <w:szCs w:val="20"/>
                <w:color w:val="auto"/>
              </w:rPr>
            </w:pPr>
            <w:r>
              <w:rPr>
                <w:rFonts w:ascii="Arial" w:cs="Arial" w:eastAsia="Arial" w:hAnsi="Arial"/>
                <w:sz w:val="18"/>
                <w:szCs w:val="18"/>
                <w:color w:val="auto"/>
              </w:rPr>
              <w:t>Incentive</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Incentive</w:t>
            </w:r>
          </w:p>
        </w:tc>
        <w:tc>
          <w:tcPr>
            <w:tcW w:w="880" w:type="dxa"/>
            <w:vAlign w:val="bottom"/>
          </w:tcPr>
          <w:p>
            <w:pPr>
              <w:ind w:left="20"/>
              <w:spacing w:after="0"/>
              <w:rPr>
                <w:sz w:val="20"/>
                <w:szCs w:val="20"/>
                <w:color w:val="auto"/>
              </w:rPr>
            </w:pPr>
            <w:r>
              <w:rPr>
                <w:rFonts w:ascii="Arial" w:cs="Arial" w:eastAsia="Arial" w:hAnsi="Arial"/>
                <w:sz w:val="18"/>
                <w:szCs w:val="18"/>
                <w:color w:val="auto"/>
              </w:rPr>
              <w:t>Plan</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Market</w:t>
            </w:r>
          </w:p>
        </w:tc>
        <w:tc>
          <w:tcPr>
            <w:tcW w:w="880" w:type="dxa"/>
            <w:vAlign w:val="bottom"/>
          </w:tcPr>
          <w:p>
            <w:pPr>
              <w:ind w:left="120"/>
              <w:spacing w:after="0"/>
              <w:rPr>
                <w:sz w:val="20"/>
                <w:szCs w:val="20"/>
                <w:color w:val="auto"/>
              </w:rPr>
            </w:pPr>
            <w:r>
              <w:rPr>
                <w:rFonts w:ascii="Arial" w:cs="Arial" w:eastAsia="Arial" w:hAnsi="Arial"/>
                <w:sz w:val="18"/>
                <w:szCs w:val="18"/>
                <w:color w:val="auto"/>
              </w:rPr>
              <w:t>Plan</w:t>
            </w:r>
          </w:p>
        </w:tc>
        <w:tc>
          <w:tcPr>
            <w:tcW w:w="880" w:type="dxa"/>
            <w:vAlign w:val="bottom"/>
          </w:tcPr>
          <w:p>
            <w:pPr>
              <w:ind w:left="20"/>
              <w:spacing w:after="0"/>
              <w:rPr>
                <w:sz w:val="20"/>
                <w:szCs w:val="20"/>
                <w:color w:val="auto"/>
              </w:rPr>
            </w:pPr>
            <w:r>
              <w:rPr>
                <w:rFonts w:ascii="Arial" w:cs="Arial" w:eastAsia="Arial" w:hAnsi="Arial"/>
                <w:sz w:val="18"/>
                <w:szCs w:val="18"/>
                <w:color w:val="auto"/>
              </w:rPr>
              <w:t>Awards: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Value</w:t>
            </w:r>
          </w:p>
        </w:tc>
        <w:tc>
          <w:tcPr>
            <w:tcW w:w="880" w:type="dxa"/>
            <w:vAlign w:val="bottom"/>
          </w:tcPr>
          <w:p>
            <w:pPr>
              <w:ind w:left="80"/>
              <w:spacing w:after="0"/>
              <w:rPr>
                <w:sz w:val="20"/>
                <w:szCs w:val="20"/>
                <w:color w:val="auto"/>
              </w:rPr>
            </w:pPr>
            <w:r>
              <w:rPr>
                <w:rFonts w:ascii="Arial" w:cs="Arial" w:eastAsia="Arial" w:hAnsi="Arial"/>
                <w:sz w:val="18"/>
                <w:szCs w:val="18"/>
                <w:color w:val="auto"/>
              </w:rPr>
              <w:t>Awards:</w:t>
            </w:r>
          </w:p>
        </w:tc>
        <w:tc>
          <w:tcPr>
            <w:tcW w:w="880" w:type="dxa"/>
            <w:vAlign w:val="bottom"/>
          </w:tcPr>
          <w:p>
            <w:pPr>
              <w:ind w:left="20"/>
              <w:spacing w:after="0"/>
              <w:rPr>
                <w:sz w:val="20"/>
                <w:szCs w:val="20"/>
                <w:color w:val="auto"/>
              </w:rPr>
            </w:pPr>
            <w:r>
              <w:rPr>
                <w:rFonts w:ascii="Arial" w:cs="Arial" w:eastAsia="Arial" w:hAnsi="Arial"/>
                <w:sz w:val="18"/>
                <w:szCs w:val="18"/>
                <w:color w:val="auto"/>
              </w:rPr>
              <w:t>Market or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Equity</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of</w:t>
            </w:r>
          </w:p>
        </w:tc>
        <w:tc>
          <w:tcPr>
            <w:tcW w:w="880" w:type="dxa"/>
            <w:vAlign w:val="bottom"/>
          </w:tcPr>
          <w:p>
            <w:pPr>
              <w:ind w:left="120"/>
              <w:spacing w:after="0"/>
              <w:rPr>
                <w:sz w:val="20"/>
                <w:szCs w:val="20"/>
                <w:color w:val="auto"/>
              </w:rPr>
            </w:pPr>
            <w:r>
              <w:rPr>
                <w:rFonts w:ascii="Arial" w:cs="Arial" w:eastAsia="Arial" w:hAnsi="Arial"/>
                <w:sz w:val="18"/>
                <w:szCs w:val="18"/>
                <w:color w:val="auto"/>
              </w:rPr>
              <w:t>Number</w:t>
            </w:r>
          </w:p>
        </w:tc>
        <w:tc>
          <w:tcPr>
            <w:tcW w:w="880" w:type="dxa"/>
            <w:vAlign w:val="bottom"/>
          </w:tcPr>
          <w:p>
            <w:pPr>
              <w:ind w:left="20"/>
              <w:spacing w:after="0"/>
              <w:rPr>
                <w:sz w:val="20"/>
                <w:szCs w:val="20"/>
                <w:color w:val="auto"/>
              </w:rPr>
            </w:pPr>
            <w:r>
              <w:rPr>
                <w:rFonts w:ascii="Arial" w:cs="Arial" w:eastAsia="Arial" w:hAnsi="Arial"/>
                <w:sz w:val="18"/>
                <w:szCs w:val="18"/>
                <w:color w:val="auto"/>
              </w:rPr>
              <w:t>Payout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Incentive</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Number</w:t>
            </w:r>
          </w:p>
        </w:tc>
        <w:tc>
          <w:tcPr>
            <w:tcW w:w="700" w:type="dxa"/>
            <w:vAlign w:val="bottom"/>
          </w:tcPr>
          <w:p>
            <w:pPr>
              <w:ind w:left="120"/>
              <w:spacing w:after="0"/>
              <w:rPr>
                <w:sz w:val="20"/>
                <w:szCs w:val="20"/>
                <w:color w:val="auto"/>
              </w:rPr>
            </w:pPr>
            <w:r>
              <w:rPr>
                <w:rFonts w:ascii="Arial" w:cs="Arial" w:eastAsia="Arial" w:hAnsi="Arial"/>
                <w:sz w:val="18"/>
                <w:szCs w:val="18"/>
                <w:color w:val="auto"/>
                <w:w w:val="98"/>
              </w:rPr>
              <w:t>Shares</w:t>
            </w:r>
          </w:p>
        </w:tc>
        <w:tc>
          <w:tcPr>
            <w:tcW w:w="880" w:type="dxa"/>
            <w:vAlign w:val="bottom"/>
          </w:tcPr>
          <w:p>
            <w:pPr>
              <w:ind w:left="80"/>
              <w:spacing w:after="0"/>
              <w:rPr>
                <w:sz w:val="20"/>
                <w:szCs w:val="20"/>
                <w:color w:val="auto"/>
              </w:rPr>
            </w:pPr>
            <w:r>
              <w:rPr>
                <w:rFonts w:ascii="Arial" w:cs="Arial" w:eastAsia="Arial" w:hAnsi="Arial"/>
                <w:sz w:val="18"/>
                <w:szCs w:val="18"/>
                <w:color w:val="auto"/>
              </w:rPr>
              <w:t>of</w:t>
            </w:r>
          </w:p>
        </w:tc>
        <w:tc>
          <w:tcPr>
            <w:tcW w:w="880" w:type="dxa"/>
            <w:vAlign w:val="bottom"/>
          </w:tcPr>
          <w:p>
            <w:pPr>
              <w:ind w:left="20"/>
              <w:spacing w:after="0"/>
              <w:rPr>
                <w:sz w:val="20"/>
                <w:szCs w:val="20"/>
                <w:color w:val="auto"/>
              </w:rPr>
            </w:pPr>
            <w:r>
              <w:rPr>
                <w:rFonts w:ascii="Arial" w:cs="Arial" w:eastAsia="Arial" w:hAnsi="Arial"/>
                <w:sz w:val="18"/>
                <w:szCs w:val="18"/>
                <w:color w:val="auto"/>
              </w:rPr>
              <w:t>Value of</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Plan</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of</w:t>
            </w:r>
          </w:p>
        </w:tc>
        <w:tc>
          <w:tcPr>
            <w:tcW w:w="700" w:type="dxa"/>
            <w:vAlign w:val="bottom"/>
          </w:tcPr>
          <w:p>
            <w:pPr>
              <w:ind w:left="120"/>
              <w:spacing w:after="0"/>
              <w:rPr>
                <w:sz w:val="20"/>
                <w:szCs w:val="20"/>
                <w:color w:val="auto"/>
              </w:rPr>
            </w:pPr>
            <w:r>
              <w:rPr>
                <w:rFonts w:ascii="Arial" w:cs="Arial" w:eastAsia="Arial" w:hAnsi="Arial"/>
                <w:sz w:val="18"/>
                <w:szCs w:val="18"/>
                <w:color w:val="auto"/>
              </w:rPr>
              <w:t>or</w:t>
            </w:r>
          </w:p>
        </w:tc>
        <w:tc>
          <w:tcPr>
            <w:tcW w:w="880" w:type="dxa"/>
            <w:vAlign w:val="bottom"/>
          </w:tcPr>
          <w:p>
            <w:pPr>
              <w:ind w:left="80"/>
              <w:spacing w:after="0"/>
              <w:rPr>
                <w:sz w:val="20"/>
                <w:szCs w:val="20"/>
                <w:color w:val="auto"/>
              </w:rPr>
            </w:pPr>
            <w:r>
              <w:rPr>
                <w:rFonts w:ascii="Arial" w:cs="Arial" w:eastAsia="Arial" w:hAnsi="Arial"/>
                <w:sz w:val="18"/>
                <w:szCs w:val="18"/>
                <w:color w:val="auto"/>
                <w:w w:val="98"/>
              </w:rPr>
              <w:t>Unearned</w:t>
            </w:r>
          </w:p>
        </w:tc>
        <w:tc>
          <w:tcPr>
            <w:tcW w:w="880" w:type="dxa"/>
            <w:vAlign w:val="bottom"/>
          </w:tcPr>
          <w:p>
            <w:pPr>
              <w:ind w:left="20"/>
              <w:spacing w:after="0"/>
              <w:rPr>
                <w:sz w:val="20"/>
                <w:szCs w:val="20"/>
                <w:color w:val="auto"/>
              </w:rPr>
            </w:pPr>
            <w:r>
              <w:rPr>
                <w:rFonts w:ascii="Arial" w:cs="Arial" w:eastAsia="Arial" w:hAnsi="Arial"/>
                <w:sz w:val="18"/>
                <w:szCs w:val="18"/>
                <w:color w:val="auto"/>
              </w:rPr>
              <w:t>Unearned</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rPr>
              <w:t>Awards:</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Shares</w:t>
            </w:r>
          </w:p>
        </w:tc>
        <w:tc>
          <w:tcPr>
            <w:tcW w:w="700" w:type="dxa"/>
            <w:vAlign w:val="bottom"/>
          </w:tcPr>
          <w:p>
            <w:pPr>
              <w:ind w:left="120"/>
              <w:spacing w:after="0"/>
              <w:rPr>
                <w:sz w:val="20"/>
                <w:szCs w:val="20"/>
                <w:color w:val="auto"/>
              </w:rPr>
            </w:pPr>
            <w:r>
              <w:rPr>
                <w:rFonts w:ascii="Arial" w:cs="Arial" w:eastAsia="Arial" w:hAnsi="Arial"/>
                <w:sz w:val="18"/>
                <w:szCs w:val="18"/>
                <w:color w:val="auto"/>
              </w:rPr>
              <w:t>Units</w:t>
            </w:r>
          </w:p>
        </w:tc>
        <w:tc>
          <w:tcPr>
            <w:tcW w:w="880" w:type="dxa"/>
            <w:vAlign w:val="bottom"/>
          </w:tcPr>
          <w:p>
            <w:pPr>
              <w:ind w:left="120"/>
              <w:spacing w:after="0"/>
              <w:rPr>
                <w:sz w:val="20"/>
                <w:szCs w:val="20"/>
                <w:color w:val="auto"/>
              </w:rPr>
            </w:pPr>
            <w:r>
              <w:rPr>
                <w:rFonts w:ascii="Arial" w:cs="Arial" w:eastAsia="Arial" w:hAnsi="Arial"/>
                <w:sz w:val="18"/>
                <w:szCs w:val="18"/>
                <w:color w:val="auto"/>
              </w:rPr>
              <w:t>Shares,</w:t>
            </w:r>
          </w:p>
        </w:tc>
        <w:tc>
          <w:tcPr>
            <w:tcW w:w="880" w:type="dxa"/>
            <w:vAlign w:val="bottom"/>
          </w:tcPr>
          <w:p>
            <w:pPr>
              <w:ind w:left="2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Number of</w:t>
            </w:r>
          </w:p>
        </w:tc>
        <w:tc>
          <w:tcPr>
            <w:tcW w:w="1020" w:type="dxa"/>
            <w:vAlign w:val="bottom"/>
          </w:tcPr>
          <w:p>
            <w:pPr>
              <w:ind w:left="40"/>
              <w:spacing w:after="0"/>
              <w:rPr>
                <w:sz w:val="20"/>
                <w:szCs w:val="20"/>
                <w:color w:val="auto"/>
              </w:rPr>
            </w:pPr>
            <w:r>
              <w:rPr>
                <w:rFonts w:ascii="Arial" w:cs="Arial" w:eastAsia="Arial" w:hAnsi="Arial"/>
                <w:sz w:val="18"/>
                <w:szCs w:val="18"/>
                <w:color w:val="auto"/>
              </w:rPr>
              <w:t>Number of</w:t>
            </w:r>
          </w:p>
        </w:tc>
        <w:tc>
          <w:tcPr>
            <w:tcW w:w="940" w:type="dxa"/>
            <w:vAlign w:val="bottom"/>
          </w:tcPr>
          <w:p>
            <w:pPr>
              <w:ind w:left="80"/>
              <w:spacing w:after="0"/>
              <w:rPr>
                <w:sz w:val="20"/>
                <w:szCs w:val="20"/>
                <w:color w:val="auto"/>
              </w:rPr>
            </w:pPr>
            <w:r>
              <w:rPr>
                <w:rFonts w:ascii="Arial" w:cs="Arial" w:eastAsia="Arial" w:hAnsi="Arial"/>
                <w:sz w:val="18"/>
                <w:szCs w:val="18"/>
                <w:color w:val="auto"/>
                <w:w w:val="99"/>
              </w:rPr>
              <w:t>Number of</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or Units</w:t>
            </w:r>
          </w:p>
        </w:tc>
        <w:tc>
          <w:tcPr>
            <w:tcW w:w="700" w:type="dxa"/>
            <w:vAlign w:val="bottom"/>
          </w:tcPr>
          <w:p>
            <w:pPr>
              <w:ind w:left="120"/>
              <w:spacing w:after="0"/>
              <w:rPr>
                <w:sz w:val="20"/>
                <w:szCs w:val="20"/>
                <w:color w:val="auto"/>
              </w:rPr>
            </w:pPr>
            <w:r>
              <w:rPr>
                <w:rFonts w:ascii="Arial" w:cs="Arial" w:eastAsia="Arial" w:hAnsi="Arial"/>
                <w:sz w:val="18"/>
                <w:szCs w:val="18"/>
                <w:color w:val="auto"/>
              </w:rPr>
              <w:t>of</w:t>
            </w:r>
          </w:p>
        </w:tc>
        <w:tc>
          <w:tcPr>
            <w:tcW w:w="880" w:type="dxa"/>
            <w:vAlign w:val="bottom"/>
          </w:tcPr>
          <w:p>
            <w:pPr>
              <w:ind w:left="80"/>
              <w:spacing w:after="0"/>
              <w:rPr>
                <w:sz w:val="20"/>
                <w:szCs w:val="20"/>
                <w:color w:val="auto"/>
              </w:rPr>
            </w:pPr>
            <w:r>
              <w:rPr>
                <w:rFonts w:ascii="Arial" w:cs="Arial" w:eastAsia="Arial" w:hAnsi="Arial"/>
                <w:sz w:val="18"/>
                <w:szCs w:val="18"/>
                <w:color w:val="auto"/>
              </w:rPr>
              <w:t>Units or</w:t>
            </w:r>
          </w:p>
        </w:tc>
        <w:tc>
          <w:tcPr>
            <w:tcW w:w="880" w:type="dxa"/>
            <w:vAlign w:val="bottom"/>
          </w:tcPr>
          <w:p>
            <w:pPr>
              <w:ind w:left="20"/>
              <w:spacing w:after="0"/>
              <w:rPr>
                <w:sz w:val="20"/>
                <w:szCs w:val="20"/>
                <w:color w:val="auto"/>
              </w:rPr>
            </w:pPr>
            <w:r>
              <w:rPr>
                <w:rFonts w:ascii="Arial" w:cs="Arial" w:eastAsia="Arial" w:hAnsi="Arial"/>
                <w:sz w:val="18"/>
                <w:szCs w:val="18"/>
                <w:color w:val="auto"/>
              </w:rPr>
              <w:t>Units or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02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94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of</w:t>
            </w:r>
          </w:p>
        </w:tc>
        <w:tc>
          <w:tcPr>
            <w:tcW w:w="700" w:type="dxa"/>
            <w:vAlign w:val="bottom"/>
          </w:tcPr>
          <w:p>
            <w:pPr>
              <w:ind w:left="120"/>
              <w:spacing w:after="0"/>
              <w:rPr>
                <w:sz w:val="20"/>
                <w:szCs w:val="20"/>
                <w:color w:val="auto"/>
              </w:rPr>
            </w:pPr>
            <w:r>
              <w:rPr>
                <w:rFonts w:ascii="Arial" w:cs="Arial" w:eastAsia="Arial" w:hAnsi="Arial"/>
                <w:sz w:val="18"/>
                <w:szCs w:val="18"/>
                <w:color w:val="auto"/>
              </w:rPr>
              <w:t>Stock</w:t>
            </w:r>
          </w:p>
        </w:tc>
        <w:tc>
          <w:tcPr>
            <w:tcW w:w="880" w:type="dxa"/>
            <w:vAlign w:val="bottom"/>
          </w:tcPr>
          <w:p>
            <w:pPr>
              <w:ind w:left="80"/>
              <w:spacing w:after="0"/>
              <w:rPr>
                <w:sz w:val="20"/>
                <w:szCs w:val="20"/>
                <w:color w:val="auto"/>
              </w:rPr>
            </w:pPr>
            <w:r>
              <w:rPr>
                <w:rFonts w:ascii="Arial" w:cs="Arial" w:eastAsia="Arial" w:hAnsi="Arial"/>
                <w:sz w:val="18"/>
                <w:szCs w:val="18"/>
                <w:color w:val="auto"/>
              </w:rPr>
              <w:t>Other</w:t>
            </w:r>
          </w:p>
        </w:tc>
        <w:tc>
          <w:tcPr>
            <w:tcW w:w="880" w:type="dxa"/>
            <w:vAlign w:val="bottom"/>
          </w:tcPr>
          <w:p>
            <w:pPr>
              <w:ind w:left="20"/>
              <w:spacing w:after="0"/>
              <w:rPr>
                <w:sz w:val="20"/>
                <w:szCs w:val="20"/>
                <w:color w:val="auto"/>
              </w:rPr>
            </w:pPr>
            <w:r>
              <w:rPr>
                <w:rFonts w:ascii="Arial" w:cs="Arial" w:eastAsia="Arial" w:hAnsi="Arial"/>
                <w:sz w:val="18"/>
                <w:szCs w:val="18"/>
                <w:color w:val="auto"/>
              </w:rPr>
              <w:t>Other</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9"/>
              </w:rPr>
              <w:t>Underlying</w:t>
            </w:r>
          </w:p>
        </w:tc>
        <w:tc>
          <w:tcPr>
            <w:tcW w:w="1020" w:type="dxa"/>
            <w:vAlign w:val="bottom"/>
          </w:tcPr>
          <w:p>
            <w:pPr>
              <w:ind w:left="40"/>
              <w:spacing w:after="0"/>
              <w:rPr>
                <w:sz w:val="20"/>
                <w:szCs w:val="20"/>
                <w:color w:val="auto"/>
              </w:rPr>
            </w:pPr>
            <w:r>
              <w:rPr>
                <w:rFonts w:ascii="Arial" w:cs="Arial" w:eastAsia="Arial" w:hAnsi="Arial"/>
                <w:sz w:val="18"/>
                <w:szCs w:val="18"/>
                <w:color w:val="auto"/>
              </w:rPr>
              <w:t>Underlying</w:t>
            </w:r>
          </w:p>
        </w:tc>
        <w:tc>
          <w:tcPr>
            <w:tcW w:w="940" w:type="dxa"/>
            <w:vAlign w:val="bottom"/>
          </w:tcPr>
          <w:p>
            <w:pPr>
              <w:ind w:left="80"/>
              <w:spacing w:after="0"/>
              <w:rPr>
                <w:sz w:val="20"/>
                <w:szCs w:val="20"/>
                <w:color w:val="auto"/>
              </w:rPr>
            </w:pPr>
            <w:r>
              <w:rPr>
                <w:rFonts w:ascii="Arial" w:cs="Arial" w:eastAsia="Arial" w:hAnsi="Arial"/>
                <w:sz w:val="18"/>
                <w:szCs w:val="18"/>
                <w:color w:val="auto"/>
                <w:w w:val="97"/>
              </w:rPr>
              <w:t>Underlying</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Stock That That</w:t>
            </w:r>
          </w:p>
        </w:tc>
        <w:tc>
          <w:tcPr>
            <w:tcW w:w="880" w:type="dxa"/>
            <w:vAlign w:val="bottom"/>
          </w:tcPr>
          <w:p>
            <w:pPr>
              <w:ind w:left="80"/>
              <w:spacing w:after="0"/>
              <w:rPr>
                <w:sz w:val="20"/>
                <w:szCs w:val="20"/>
                <w:color w:val="auto"/>
              </w:rPr>
            </w:pPr>
            <w:r>
              <w:rPr>
                <w:rFonts w:ascii="Arial" w:cs="Arial" w:eastAsia="Arial" w:hAnsi="Arial"/>
                <w:sz w:val="18"/>
                <w:szCs w:val="18"/>
                <w:color w:val="auto"/>
              </w:rPr>
              <w:t>Rights</w:t>
            </w:r>
          </w:p>
        </w:tc>
        <w:tc>
          <w:tcPr>
            <w:tcW w:w="880" w:type="dxa"/>
            <w:vAlign w:val="bottom"/>
          </w:tcPr>
          <w:p>
            <w:pPr>
              <w:ind w:left="20"/>
              <w:spacing w:after="0"/>
              <w:rPr>
                <w:sz w:val="20"/>
                <w:szCs w:val="20"/>
                <w:color w:val="auto"/>
              </w:rPr>
            </w:pPr>
            <w:r>
              <w:rPr>
                <w:rFonts w:ascii="Arial" w:cs="Arial" w:eastAsia="Arial" w:hAnsi="Arial"/>
                <w:sz w:val="18"/>
                <w:szCs w:val="18"/>
                <w:color w:val="auto"/>
              </w:rPr>
              <w:t>Rights</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91"/>
              </w:rPr>
              <w:t>Unexercised Unexercised</w:t>
            </w:r>
          </w:p>
        </w:tc>
        <w:tc>
          <w:tcPr>
            <w:tcW w:w="1680" w:type="dxa"/>
            <w:vAlign w:val="bottom"/>
            <w:gridSpan w:val="2"/>
          </w:tcPr>
          <w:p>
            <w:pPr>
              <w:ind w:left="80"/>
              <w:spacing w:after="0"/>
              <w:rPr>
                <w:sz w:val="20"/>
                <w:szCs w:val="20"/>
                <w:color w:val="auto"/>
              </w:rPr>
            </w:pPr>
            <w:r>
              <w:rPr>
                <w:rFonts w:ascii="Arial" w:cs="Arial" w:eastAsia="Arial" w:hAnsi="Arial"/>
                <w:sz w:val="18"/>
                <w:szCs w:val="18"/>
                <w:color w:val="auto"/>
                <w:w w:val="99"/>
              </w:rPr>
              <w:t>Unexercised Option</w:t>
            </w:r>
          </w:p>
        </w:tc>
        <w:tc>
          <w:tcPr>
            <w:tcW w:w="96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Have</w:t>
            </w:r>
          </w:p>
        </w:tc>
        <w:tc>
          <w:tcPr>
            <w:tcW w:w="700" w:type="dxa"/>
            <w:vAlign w:val="bottom"/>
          </w:tcPr>
          <w:p>
            <w:pPr>
              <w:ind w:left="120"/>
              <w:spacing w:after="0"/>
              <w:rPr>
                <w:sz w:val="20"/>
                <w:szCs w:val="20"/>
                <w:color w:val="auto"/>
              </w:rPr>
            </w:pPr>
            <w:r>
              <w:rPr>
                <w:rFonts w:ascii="Arial" w:cs="Arial" w:eastAsia="Arial" w:hAnsi="Arial"/>
                <w:sz w:val="18"/>
                <w:szCs w:val="18"/>
                <w:color w:val="auto"/>
              </w:rPr>
              <w:t>Have</w:t>
            </w:r>
          </w:p>
        </w:tc>
        <w:tc>
          <w:tcPr>
            <w:tcW w:w="880" w:type="dxa"/>
            <w:vAlign w:val="bottom"/>
          </w:tcPr>
          <w:p>
            <w:pPr>
              <w:ind w:left="80"/>
              <w:spacing w:after="0"/>
              <w:rPr>
                <w:sz w:val="20"/>
                <w:szCs w:val="20"/>
                <w:color w:val="auto"/>
              </w:rPr>
            </w:pPr>
            <w:r>
              <w:rPr>
                <w:rFonts w:ascii="Arial" w:cs="Arial" w:eastAsia="Arial" w:hAnsi="Arial"/>
                <w:sz w:val="18"/>
                <w:szCs w:val="18"/>
                <w:color w:val="auto"/>
                <w:w w:val="93"/>
              </w:rPr>
              <w:t>That Have</w:t>
            </w:r>
          </w:p>
        </w:tc>
        <w:tc>
          <w:tcPr>
            <w:tcW w:w="880" w:type="dxa"/>
            <w:vAlign w:val="bottom"/>
          </w:tcPr>
          <w:p>
            <w:pPr>
              <w:ind w:left="20"/>
              <w:spacing w:after="0"/>
              <w:rPr>
                <w:sz w:val="20"/>
                <w:szCs w:val="20"/>
                <w:color w:val="auto"/>
              </w:rPr>
            </w:pPr>
            <w:r>
              <w:rPr>
                <w:rFonts w:ascii="Arial" w:cs="Arial" w:eastAsia="Arial" w:hAnsi="Arial"/>
                <w:sz w:val="18"/>
                <w:szCs w:val="18"/>
                <w:color w:val="auto"/>
              </w:rPr>
              <w:t>That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Options</w:t>
            </w:r>
          </w:p>
        </w:tc>
        <w:tc>
          <w:tcPr>
            <w:tcW w:w="1020" w:type="dxa"/>
            <w:vAlign w:val="bottom"/>
          </w:tcPr>
          <w:p>
            <w:pPr>
              <w:ind w:left="40"/>
              <w:spacing w:after="0"/>
              <w:rPr>
                <w:sz w:val="20"/>
                <w:szCs w:val="20"/>
                <w:color w:val="auto"/>
              </w:rPr>
            </w:pPr>
            <w:r>
              <w:rPr>
                <w:rFonts w:ascii="Arial" w:cs="Arial" w:eastAsia="Arial" w:hAnsi="Arial"/>
                <w:sz w:val="18"/>
                <w:szCs w:val="18"/>
                <w:color w:val="auto"/>
              </w:rPr>
              <w:t>Options</w:t>
            </w:r>
          </w:p>
        </w:tc>
        <w:tc>
          <w:tcPr>
            <w:tcW w:w="940" w:type="dxa"/>
            <w:vAlign w:val="bottom"/>
          </w:tcPr>
          <w:p>
            <w:pPr>
              <w:ind w:left="80"/>
              <w:spacing w:after="0"/>
              <w:rPr>
                <w:sz w:val="20"/>
                <w:szCs w:val="20"/>
                <w:color w:val="auto"/>
              </w:rPr>
            </w:pPr>
            <w:r>
              <w:rPr>
                <w:rFonts w:ascii="Arial" w:cs="Arial" w:eastAsia="Arial" w:hAnsi="Arial"/>
                <w:sz w:val="18"/>
                <w:szCs w:val="18"/>
                <w:color w:val="auto"/>
              </w:rPr>
              <w:t>Unearned</w:t>
            </w:r>
          </w:p>
        </w:tc>
        <w:tc>
          <w:tcPr>
            <w:tcW w:w="740" w:type="dxa"/>
            <w:vAlign w:val="bottom"/>
          </w:tcPr>
          <w:p>
            <w:pPr>
              <w:ind w:left="60"/>
              <w:spacing w:after="0"/>
              <w:rPr>
                <w:sz w:val="20"/>
                <w:szCs w:val="20"/>
                <w:color w:val="auto"/>
              </w:rPr>
            </w:pPr>
            <w:r>
              <w:rPr>
                <w:rFonts w:ascii="Arial" w:cs="Arial" w:eastAsia="Arial" w:hAnsi="Arial"/>
                <w:sz w:val="18"/>
                <w:szCs w:val="18"/>
                <w:color w:val="auto"/>
                <w:w w:val="95"/>
              </w:rPr>
              <w:t>Exercise</w:t>
            </w:r>
          </w:p>
        </w:tc>
        <w:tc>
          <w:tcPr>
            <w:tcW w:w="960" w:type="dxa"/>
            <w:vAlign w:val="bottom"/>
          </w:tcPr>
          <w:p>
            <w:pPr>
              <w:ind w:left="60"/>
              <w:spacing w:after="0"/>
              <w:rPr>
                <w:sz w:val="20"/>
                <w:szCs w:val="20"/>
                <w:color w:val="auto"/>
              </w:rPr>
            </w:pPr>
            <w:r>
              <w:rPr>
                <w:rFonts w:ascii="Arial" w:cs="Arial" w:eastAsia="Arial" w:hAnsi="Arial"/>
                <w:sz w:val="18"/>
                <w:szCs w:val="18"/>
                <w:color w:val="auto"/>
              </w:rPr>
              <w:t>Option</w:t>
            </w:r>
          </w:p>
        </w:tc>
        <w:tc>
          <w:tcPr>
            <w:tcW w:w="840" w:type="dxa"/>
            <w:vAlign w:val="bottom"/>
          </w:tcPr>
          <w:p>
            <w:pPr>
              <w:ind w:left="120"/>
              <w:spacing w:after="0"/>
              <w:rPr>
                <w:sz w:val="20"/>
                <w:szCs w:val="20"/>
                <w:color w:val="auto"/>
              </w:rPr>
            </w:pPr>
            <w:r>
              <w:rPr>
                <w:rFonts w:ascii="Arial" w:cs="Arial" w:eastAsia="Arial" w:hAnsi="Arial"/>
                <w:sz w:val="18"/>
                <w:szCs w:val="18"/>
                <w:color w:val="auto"/>
              </w:rPr>
              <w:t>Not</w:t>
            </w:r>
          </w:p>
        </w:tc>
        <w:tc>
          <w:tcPr>
            <w:tcW w:w="700" w:type="dxa"/>
            <w:vAlign w:val="bottom"/>
          </w:tcPr>
          <w:p>
            <w:pPr>
              <w:ind w:left="120"/>
              <w:spacing w:after="0"/>
              <w:rPr>
                <w:sz w:val="20"/>
                <w:szCs w:val="20"/>
                <w:color w:val="auto"/>
              </w:rPr>
            </w:pPr>
            <w:r>
              <w:rPr>
                <w:rFonts w:ascii="Arial" w:cs="Arial" w:eastAsia="Arial" w:hAnsi="Arial"/>
                <w:sz w:val="18"/>
                <w:szCs w:val="18"/>
                <w:color w:val="auto"/>
              </w:rPr>
              <w:t>Not</w:t>
            </w:r>
          </w:p>
        </w:tc>
        <w:tc>
          <w:tcPr>
            <w:tcW w:w="880" w:type="dxa"/>
            <w:vAlign w:val="bottom"/>
          </w:tcPr>
          <w:p>
            <w:pPr>
              <w:ind w:left="120"/>
              <w:spacing w:after="0"/>
              <w:rPr>
                <w:sz w:val="20"/>
                <w:szCs w:val="20"/>
                <w:color w:val="auto"/>
              </w:rPr>
            </w:pPr>
            <w:r>
              <w:rPr>
                <w:rFonts w:ascii="Arial" w:cs="Arial" w:eastAsia="Arial" w:hAnsi="Arial"/>
                <w:sz w:val="18"/>
                <w:szCs w:val="18"/>
                <w:color w:val="auto"/>
              </w:rPr>
              <w:t>Not</w:t>
            </w:r>
          </w:p>
        </w:tc>
        <w:tc>
          <w:tcPr>
            <w:tcW w:w="880" w:type="dxa"/>
            <w:vAlign w:val="bottom"/>
          </w:tcPr>
          <w:p>
            <w:pPr>
              <w:ind w:left="20"/>
              <w:spacing w:after="0"/>
              <w:rPr>
                <w:sz w:val="20"/>
                <w:szCs w:val="20"/>
                <w:color w:val="auto"/>
              </w:rPr>
            </w:pPr>
            <w:r>
              <w:rPr>
                <w:rFonts w:ascii="Arial" w:cs="Arial" w:eastAsia="Arial" w:hAnsi="Arial"/>
                <w:sz w:val="18"/>
                <w:szCs w:val="18"/>
                <w:color w:val="auto"/>
              </w:rPr>
              <w:t>Have Not</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ind w:left="80"/>
              <w:spacing w:after="0"/>
              <w:rPr>
                <w:sz w:val="20"/>
                <w:szCs w:val="20"/>
                <w:color w:val="auto"/>
              </w:rPr>
            </w:pPr>
            <w:r>
              <w:rPr>
                <w:rFonts w:ascii="Arial" w:cs="Arial" w:eastAsia="Arial" w:hAnsi="Arial"/>
                <w:sz w:val="18"/>
                <w:szCs w:val="18"/>
                <w:color w:val="auto"/>
              </w:rPr>
              <w:t>Options</w:t>
            </w:r>
          </w:p>
        </w:tc>
        <w:tc>
          <w:tcPr>
            <w:tcW w:w="740" w:type="dxa"/>
            <w:vAlign w:val="bottom"/>
          </w:tcPr>
          <w:p>
            <w:pPr>
              <w:ind w:left="100"/>
              <w:spacing w:after="0"/>
              <w:rPr>
                <w:sz w:val="20"/>
                <w:szCs w:val="20"/>
                <w:color w:val="auto"/>
              </w:rPr>
            </w:pPr>
            <w:r>
              <w:rPr>
                <w:rFonts w:ascii="Arial" w:cs="Arial" w:eastAsia="Arial" w:hAnsi="Arial"/>
                <w:sz w:val="18"/>
                <w:szCs w:val="18"/>
                <w:color w:val="auto"/>
              </w:rPr>
              <w:t>Price</w:t>
            </w:r>
          </w:p>
        </w:tc>
        <w:tc>
          <w:tcPr>
            <w:tcW w:w="960" w:type="dxa"/>
            <w:vAlign w:val="bottom"/>
          </w:tcPr>
          <w:p>
            <w:pPr>
              <w:ind w:left="60"/>
              <w:spacing w:after="0"/>
              <w:rPr>
                <w:sz w:val="20"/>
                <w:szCs w:val="20"/>
                <w:color w:val="auto"/>
              </w:rPr>
            </w:pPr>
            <w:r>
              <w:rPr>
                <w:rFonts w:ascii="Arial" w:cs="Arial" w:eastAsia="Arial" w:hAnsi="Arial"/>
                <w:sz w:val="18"/>
                <w:szCs w:val="18"/>
                <w:color w:val="auto"/>
              </w:rPr>
              <w:t>Expiration</w:t>
            </w:r>
          </w:p>
        </w:tc>
        <w:tc>
          <w:tcPr>
            <w:tcW w:w="840" w:type="dxa"/>
            <w:vAlign w:val="bottom"/>
          </w:tcPr>
          <w:p>
            <w:pPr>
              <w:ind w:left="120"/>
              <w:spacing w:after="0"/>
              <w:rPr>
                <w:sz w:val="20"/>
                <w:szCs w:val="20"/>
                <w:color w:val="auto"/>
              </w:rPr>
            </w:pPr>
            <w:r>
              <w:rPr>
                <w:rFonts w:ascii="Arial" w:cs="Arial" w:eastAsia="Arial" w:hAnsi="Arial"/>
                <w:sz w:val="18"/>
                <w:szCs w:val="18"/>
                <w:color w:val="auto"/>
              </w:rPr>
              <w:t>Vested</w:t>
            </w:r>
          </w:p>
        </w:tc>
        <w:tc>
          <w:tcPr>
            <w:tcW w:w="700" w:type="dxa"/>
            <w:vAlign w:val="bottom"/>
          </w:tcPr>
          <w:p>
            <w:pPr>
              <w:ind w:left="120"/>
              <w:spacing w:after="0"/>
              <w:rPr>
                <w:sz w:val="20"/>
                <w:szCs w:val="20"/>
                <w:color w:val="auto"/>
              </w:rPr>
            </w:pPr>
            <w:r>
              <w:rPr>
                <w:rFonts w:ascii="Arial" w:cs="Arial" w:eastAsia="Arial" w:hAnsi="Arial"/>
                <w:sz w:val="18"/>
                <w:szCs w:val="18"/>
                <w:color w:val="auto"/>
                <w:w w:val="99"/>
              </w:rPr>
              <w:t>Vested</w:t>
            </w:r>
          </w:p>
        </w:tc>
        <w:tc>
          <w:tcPr>
            <w:tcW w:w="880" w:type="dxa"/>
            <w:vAlign w:val="bottom"/>
          </w:tcPr>
          <w:p>
            <w:pPr>
              <w:ind w:left="80"/>
              <w:spacing w:after="0"/>
              <w:rPr>
                <w:sz w:val="20"/>
                <w:szCs w:val="20"/>
                <w:color w:val="auto"/>
              </w:rPr>
            </w:pPr>
            <w:r>
              <w:rPr>
                <w:rFonts w:ascii="Arial" w:cs="Arial" w:eastAsia="Arial" w:hAnsi="Arial"/>
                <w:sz w:val="18"/>
                <w:szCs w:val="18"/>
                <w:color w:val="auto"/>
              </w:rPr>
              <w:t>Vested</w:t>
            </w:r>
          </w:p>
        </w:tc>
        <w:tc>
          <w:tcPr>
            <w:tcW w:w="880" w:type="dxa"/>
            <w:vAlign w:val="bottom"/>
          </w:tcPr>
          <w:p>
            <w:pPr>
              <w:ind w:left="60"/>
              <w:spacing w:after="0"/>
              <w:rPr>
                <w:sz w:val="20"/>
                <w:szCs w:val="20"/>
                <w:color w:val="auto"/>
              </w:rPr>
            </w:pPr>
            <w:r>
              <w:rPr>
                <w:rFonts w:ascii="Arial" w:cs="Arial" w:eastAsia="Arial" w:hAnsi="Arial"/>
                <w:sz w:val="18"/>
                <w:szCs w:val="18"/>
                <w:color w:val="auto"/>
              </w:rPr>
              <w:t>Vested</w:t>
            </w:r>
          </w:p>
        </w:tc>
      </w:tr>
      <w:tr>
        <w:trPr>
          <w:trHeight w:val="237"/>
        </w:trPr>
        <w:tc>
          <w:tcPr>
            <w:tcW w:w="1280" w:type="dxa"/>
            <w:vAlign w:val="bottom"/>
            <w:gridSpan w:val="2"/>
          </w:tcPr>
          <w:p>
            <w:pPr>
              <w:spacing w:after="0"/>
              <w:rPr>
                <w:sz w:val="20"/>
                <w:szCs w:val="20"/>
                <w:color w:val="auto"/>
              </w:rPr>
            </w:pPr>
            <w:r>
              <w:rPr>
                <w:rFonts w:ascii="Arial" w:cs="Arial" w:eastAsia="Arial" w:hAnsi="Arial"/>
                <w:sz w:val="18"/>
                <w:szCs w:val="18"/>
                <w:color w:val="auto"/>
              </w:rPr>
              <w:t>Name</w:t>
            </w:r>
          </w:p>
        </w:tc>
        <w:tc>
          <w:tcPr>
            <w:tcW w:w="2860" w:type="dxa"/>
            <w:vAlign w:val="bottom"/>
            <w:gridSpan w:val="3"/>
          </w:tcPr>
          <w:p>
            <w:pPr>
              <w:ind w:left="20"/>
              <w:spacing w:after="0"/>
              <w:rPr>
                <w:sz w:val="20"/>
                <w:szCs w:val="20"/>
                <w:color w:val="auto"/>
              </w:rPr>
            </w:pPr>
            <w:r>
              <w:rPr>
                <w:rFonts w:ascii="Arial" w:cs="Arial" w:eastAsia="Arial" w:hAnsi="Arial"/>
                <w:sz w:val="18"/>
                <w:szCs w:val="18"/>
                <w:color w:val="auto"/>
              </w:rPr>
              <w:t>Exercisable Unexercisable (#)</w:t>
            </w:r>
          </w:p>
        </w:tc>
        <w:tc>
          <w:tcPr>
            <w:tcW w:w="74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ind w:left="60"/>
              <w:spacing w:after="0"/>
              <w:rPr>
                <w:sz w:val="20"/>
                <w:szCs w:val="20"/>
                <w:color w:val="auto"/>
              </w:rPr>
            </w:pPr>
            <w:r>
              <w:rPr>
                <w:rFonts w:ascii="Arial" w:cs="Arial" w:eastAsia="Arial" w:hAnsi="Arial"/>
                <w:sz w:val="18"/>
                <w:szCs w:val="18"/>
                <w:color w:val="auto"/>
              </w:rPr>
              <w:t>Date</w:t>
            </w:r>
          </w:p>
        </w:tc>
        <w:tc>
          <w:tcPr>
            <w:tcW w:w="84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2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David Lester,</w:t>
            </w:r>
          </w:p>
        </w:tc>
        <w:tc>
          <w:tcPr>
            <w:tcW w:w="90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375,000</w:t>
            </w:r>
          </w:p>
        </w:tc>
        <w:tc>
          <w:tcPr>
            <w:tcW w:w="10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60"/>
              <w:spacing w:after="0" w:line="202" w:lineRule="exact"/>
              <w:rPr>
                <w:sz w:val="20"/>
                <w:szCs w:val="20"/>
                <w:color w:val="auto"/>
              </w:rPr>
            </w:pPr>
            <w:r>
              <w:rPr>
                <w:rFonts w:ascii="Arial" w:cs="Arial" w:eastAsia="Arial" w:hAnsi="Arial"/>
                <w:sz w:val="17"/>
                <w:szCs w:val="17"/>
                <w:color w:val="auto"/>
              </w:rPr>
              <w:t>$0.35</w:t>
            </w:r>
            <w:r>
              <w:rPr>
                <w:rFonts w:ascii="Arial" w:cs="Arial" w:eastAsia="Arial" w:hAnsi="Arial"/>
                <w:sz w:val="23"/>
                <w:szCs w:val="23"/>
                <w:color w:val="auto"/>
                <w:vertAlign w:val="superscript"/>
              </w:rPr>
              <w:t>(1)</w:t>
            </w:r>
          </w:p>
        </w:tc>
        <w:tc>
          <w:tcPr>
            <w:tcW w:w="96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rPr>
              <w:t>10/1/14</w:t>
            </w: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President CEO,</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125,000</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line="216" w:lineRule="exact"/>
              <w:rPr>
                <w:sz w:val="20"/>
                <w:szCs w:val="20"/>
                <w:color w:val="auto"/>
              </w:rPr>
            </w:pPr>
            <w:r>
              <w:rPr>
                <w:rFonts w:ascii="Arial" w:cs="Arial" w:eastAsia="Arial" w:hAnsi="Arial"/>
                <w:sz w:val="18"/>
                <w:szCs w:val="18"/>
                <w:color w:val="auto"/>
              </w:rPr>
              <w:t>$0.35</w:t>
            </w:r>
            <w:r>
              <w:rPr>
                <w:rFonts w:ascii="Arial" w:cs="Arial" w:eastAsia="Arial" w:hAnsi="Arial"/>
                <w:sz w:val="25"/>
                <w:szCs w:val="25"/>
                <w:color w:val="auto"/>
                <w:vertAlign w:val="superscript"/>
              </w:rPr>
              <w:t>(1)</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12/22/14</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CFO and</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line="201" w:lineRule="exact"/>
              <w:rPr>
                <w:sz w:val="20"/>
                <w:szCs w:val="20"/>
                <w:color w:val="auto"/>
              </w:rPr>
            </w:pPr>
            <w:r>
              <w:rPr>
                <w:rFonts w:ascii="Arial" w:cs="Arial" w:eastAsia="Arial" w:hAnsi="Arial"/>
                <w:sz w:val="18"/>
                <w:szCs w:val="18"/>
                <w:color w:val="auto"/>
              </w:rPr>
              <w:t>Thomas E.</w:t>
            </w: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Majerowicz</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w w:val="89"/>
              </w:rPr>
              <w:t>Former Secretary</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Harrell,</w:t>
            </w:r>
          </w:p>
        </w:tc>
        <w:tc>
          <w:tcPr>
            <w:tcW w:w="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100,000</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3/5/14</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200,000</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$1.81</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4/26/15</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9"/>
              </w:rPr>
              <w:t>Former President</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and CEO</w:t>
            </w: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60" w:type="dxa"/>
            <w:vAlign w:val="bottom"/>
          </w:tcPr>
          <w:p>
            <w:pPr>
              <w:spacing w:after="0" w:line="201" w:lineRule="exact"/>
              <w:rPr>
                <w:sz w:val="20"/>
                <w:szCs w:val="20"/>
                <w:color w:val="auto"/>
              </w:rPr>
            </w:pPr>
            <w:r>
              <w:rPr>
                <w:rFonts w:ascii="Arial" w:cs="Arial" w:eastAsia="Arial" w:hAnsi="Arial"/>
                <w:sz w:val="18"/>
                <w:szCs w:val="18"/>
                <w:color w:val="auto"/>
              </w:rPr>
              <w:t>Terence J.</w:t>
            </w:r>
          </w:p>
        </w:tc>
        <w:tc>
          <w:tcPr>
            <w:tcW w:w="900" w:type="dxa"/>
            <w:vAlign w:val="bottom"/>
          </w:tcPr>
          <w:p>
            <w:pPr>
              <w:ind w:left="20"/>
              <w:spacing w:after="0" w:line="201" w:lineRule="exact"/>
              <w:rPr>
                <w:sz w:val="20"/>
                <w:szCs w:val="20"/>
                <w:color w:val="auto"/>
              </w:rPr>
            </w:pPr>
            <w:r>
              <w:rPr>
                <w:rFonts w:ascii="Arial" w:cs="Arial" w:eastAsia="Arial" w:hAnsi="Arial"/>
                <w:sz w:val="18"/>
                <w:szCs w:val="18"/>
                <w:color w:val="auto"/>
              </w:rPr>
              <w:t>150,000</w:t>
            </w: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ind w:left="60"/>
              <w:spacing w:after="0" w:line="201" w:lineRule="exact"/>
              <w:rPr>
                <w:sz w:val="20"/>
                <w:szCs w:val="20"/>
                <w:color w:val="auto"/>
              </w:rPr>
            </w:pPr>
            <w:r>
              <w:rPr>
                <w:rFonts w:ascii="Arial" w:cs="Arial" w:eastAsia="Arial" w:hAnsi="Arial"/>
                <w:sz w:val="18"/>
                <w:szCs w:val="18"/>
                <w:color w:val="auto"/>
              </w:rPr>
              <w:t>$1.00</w:t>
            </w:r>
          </w:p>
        </w:tc>
        <w:tc>
          <w:tcPr>
            <w:tcW w:w="960" w:type="dxa"/>
            <w:vAlign w:val="bottom"/>
          </w:tcPr>
          <w:p>
            <w:pPr>
              <w:ind w:left="60"/>
              <w:spacing w:after="0" w:line="201" w:lineRule="exact"/>
              <w:rPr>
                <w:sz w:val="20"/>
                <w:szCs w:val="20"/>
                <w:color w:val="auto"/>
              </w:rPr>
            </w:pPr>
            <w:r>
              <w:rPr>
                <w:rFonts w:ascii="Arial" w:cs="Arial" w:eastAsia="Arial" w:hAnsi="Arial"/>
                <w:sz w:val="18"/>
                <w:szCs w:val="18"/>
                <w:color w:val="auto"/>
              </w:rPr>
              <w:t>3/5/14</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Hamilton</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VP of Sales</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2" w:lineRule="exact"/>
        <w:rPr>
          <w:sz w:val="20"/>
          <w:szCs w:val="20"/>
          <w:color w:val="auto"/>
        </w:rPr>
      </w:pPr>
    </w:p>
    <w:p>
      <w:pPr>
        <w:ind w:right="4500" w:firstLine="1135"/>
        <w:spacing w:after="0" w:line="502" w:lineRule="auto"/>
        <w:tabs>
          <w:tab w:leader="none" w:pos="1364"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These are warrants that were revalued on October 1, 2009 to $0.35 per share. The table below summarizes all compensation of our directors as of December 31, 2010.</w:t>
      </w: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Non-Equity   Non-Qualified</w:t>
            </w:r>
          </w:p>
        </w:tc>
        <w:tc>
          <w:tcPr>
            <w:tcW w:w="1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jc w:val="center"/>
              <w:ind w:left="330"/>
              <w:spacing w:after="0"/>
              <w:rPr>
                <w:sz w:val="20"/>
                <w:szCs w:val="20"/>
                <w:color w:val="auto"/>
              </w:rPr>
            </w:pPr>
            <w:r>
              <w:rPr>
                <w:rFonts w:ascii="Arial" w:cs="Arial" w:eastAsia="Arial" w:hAnsi="Arial"/>
                <w:sz w:val="18"/>
                <w:szCs w:val="18"/>
                <w:color w:val="auto"/>
                <w:w w:val="85"/>
              </w:rPr>
              <w:t>Fees Earned</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1"/>
              </w:rPr>
              <w:t>Incentive</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Deferred</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rPr>
              <w:t>All</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jc w:val="center"/>
              <w:ind w:left="350"/>
              <w:spacing w:after="0"/>
              <w:rPr>
                <w:sz w:val="20"/>
                <w:szCs w:val="20"/>
                <w:color w:val="auto"/>
              </w:rPr>
            </w:pPr>
            <w:r>
              <w:rPr>
                <w:rFonts w:ascii="Arial" w:cs="Arial" w:eastAsia="Arial" w:hAnsi="Arial"/>
                <w:sz w:val="18"/>
                <w:szCs w:val="18"/>
                <w:color w:val="auto"/>
                <w:w w:val="87"/>
              </w:rPr>
              <w:t>or</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8"/>
              </w:rPr>
              <w:t>Other</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20" w:type="dxa"/>
            <w:vAlign w:val="bottom"/>
          </w:tcPr>
          <w:p>
            <w:pPr>
              <w:jc w:val="center"/>
              <w:ind w:left="350"/>
              <w:spacing w:after="0"/>
              <w:rPr>
                <w:sz w:val="20"/>
                <w:szCs w:val="20"/>
                <w:color w:val="auto"/>
              </w:rPr>
            </w:pPr>
            <w:r>
              <w:rPr>
                <w:rFonts w:ascii="Arial" w:cs="Arial" w:eastAsia="Arial" w:hAnsi="Arial"/>
                <w:sz w:val="18"/>
                <w:szCs w:val="18"/>
                <w:color w:val="auto"/>
                <w:w w:val="90"/>
              </w:rPr>
              <w:t>Paid in</w:t>
            </w:r>
          </w:p>
        </w:tc>
        <w:tc>
          <w:tcPr>
            <w:tcW w:w="700" w:type="dxa"/>
            <w:vAlign w:val="bottom"/>
          </w:tcPr>
          <w:p>
            <w:pPr>
              <w:jc w:val="center"/>
              <w:ind w:right="10"/>
              <w:spacing w:after="0"/>
              <w:rPr>
                <w:sz w:val="20"/>
                <w:szCs w:val="20"/>
                <w:color w:val="auto"/>
              </w:rPr>
            </w:pPr>
            <w:r>
              <w:rPr>
                <w:rFonts w:ascii="Arial" w:cs="Arial" w:eastAsia="Arial" w:hAnsi="Arial"/>
                <w:sz w:val="18"/>
                <w:szCs w:val="18"/>
                <w:color w:val="auto"/>
                <w:w w:val="88"/>
              </w:rPr>
              <w:t>Stock</w:t>
            </w:r>
          </w:p>
        </w:tc>
        <w:tc>
          <w:tcPr>
            <w:tcW w:w="740" w:type="dxa"/>
            <w:vAlign w:val="bottom"/>
          </w:tcPr>
          <w:p>
            <w:pPr>
              <w:ind w:left="160"/>
              <w:spacing w:after="0"/>
              <w:rPr>
                <w:sz w:val="20"/>
                <w:szCs w:val="20"/>
                <w:color w:val="auto"/>
              </w:rPr>
            </w:pPr>
            <w:r>
              <w:rPr>
                <w:rFonts w:ascii="Arial" w:cs="Arial" w:eastAsia="Arial" w:hAnsi="Arial"/>
                <w:sz w:val="18"/>
                <w:szCs w:val="18"/>
                <w:color w:val="auto"/>
              </w:rPr>
              <w:t>Option</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Earnings</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Compensation</w:t>
            </w:r>
          </w:p>
        </w:tc>
        <w:tc>
          <w:tcPr>
            <w:tcW w:w="840" w:type="dxa"/>
            <w:vAlign w:val="bottom"/>
          </w:tcPr>
          <w:p>
            <w:pPr>
              <w:ind w:left="20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8"/>
                <w:szCs w:val="18"/>
                <w:color w:val="auto"/>
              </w:rPr>
            </w:pPr>
          </w:p>
        </w:tc>
      </w:tr>
      <w:tr>
        <w:trPr>
          <w:trHeight w:val="216"/>
        </w:trPr>
        <w:tc>
          <w:tcPr>
            <w:tcW w:w="2680" w:type="dxa"/>
            <w:vAlign w:val="bottom"/>
            <w:gridSpan w:val="2"/>
          </w:tcPr>
          <w:p>
            <w:pPr>
              <w:ind w:left="1140"/>
              <w:spacing w:after="0"/>
              <w:rPr>
                <w:sz w:val="20"/>
                <w:szCs w:val="20"/>
                <w:color w:val="auto"/>
              </w:rPr>
            </w:pPr>
            <w:r>
              <w:rPr>
                <w:rFonts w:ascii="Arial" w:cs="Arial" w:eastAsia="Arial" w:hAnsi="Arial"/>
                <w:sz w:val="18"/>
                <w:szCs w:val="18"/>
                <w:color w:val="auto"/>
              </w:rPr>
              <w:t>Name</w:t>
            </w:r>
          </w:p>
        </w:tc>
        <w:tc>
          <w:tcPr>
            <w:tcW w:w="1420" w:type="dxa"/>
            <w:vAlign w:val="bottom"/>
          </w:tcPr>
          <w:p>
            <w:pPr>
              <w:jc w:val="center"/>
              <w:ind w:left="330"/>
              <w:spacing w:after="0"/>
              <w:rPr>
                <w:sz w:val="20"/>
                <w:szCs w:val="20"/>
                <w:color w:val="auto"/>
              </w:rPr>
            </w:pPr>
            <w:r>
              <w:rPr>
                <w:rFonts w:ascii="Arial" w:cs="Arial" w:eastAsia="Arial" w:hAnsi="Arial"/>
                <w:sz w:val="18"/>
                <w:szCs w:val="18"/>
                <w:color w:val="auto"/>
                <w:w w:val="85"/>
              </w:rPr>
              <w:t>Cash</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740" w:type="dxa"/>
            <w:vAlign w:val="bottom"/>
          </w:tcPr>
          <w:p>
            <w:pPr>
              <w:ind w:left="120"/>
              <w:spacing w:after="0"/>
              <w:rPr>
                <w:sz w:val="20"/>
                <w:szCs w:val="20"/>
                <w:color w:val="auto"/>
              </w:rPr>
            </w:pPr>
            <w:r>
              <w:rPr>
                <w:rFonts w:ascii="Arial" w:cs="Arial" w:eastAsia="Arial" w:hAnsi="Arial"/>
                <w:sz w:val="18"/>
                <w:szCs w:val="18"/>
                <w:color w:val="auto"/>
                <w:w w:val="99"/>
              </w:rPr>
              <w:t>Awards</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Shad Shastney</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7,200</w:t>
            </w:r>
          </w:p>
        </w:tc>
        <w:tc>
          <w:tcPr>
            <w:tcW w:w="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608"/>
        </w:trPr>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jc w:val="right"/>
              <w:ind w:right="970"/>
              <w:spacing w:after="0"/>
              <w:rPr>
                <w:sz w:val="20"/>
                <w:szCs w:val="20"/>
                <w:color w:val="auto"/>
              </w:rPr>
            </w:pPr>
            <w:r>
              <w:rPr>
                <w:rFonts w:ascii="Arial" w:cs="Arial" w:eastAsia="Arial" w:hAnsi="Arial"/>
                <w:sz w:val="18"/>
                <w:szCs w:val="18"/>
                <w:color w:val="auto"/>
              </w:rPr>
              <w:t>26</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known to us with respect to the beneficial ownership of our Common Stock as of December 31, 2010, by</w:t>
      </w:r>
    </w:p>
    <w:p>
      <w:pPr>
        <w:spacing w:after="0" w:line="46" w:lineRule="exact"/>
        <w:rPr>
          <w:sz w:val="20"/>
          <w:szCs w:val="20"/>
          <w:color w:val="auto"/>
        </w:rPr>
      </w:pPr>
    </w:p>
    <w:p>
      <w:pPr>
        <w:ind w:right="40" w:firstLine="8"/>
        <w:spacing w:after="0" w:line="267"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persons who are beneficial owners of 5% or more of our voting securities, (2) each director, (3) each executive officer, and (4) all directors and executive officers as a group. The information regarding beneficial ownership of our common stock has been presented in accordance with the rules of the Securities and Exchange Commission. Under these rules, a person may be deemed to beneficially own any shares of capital stock as to which such person, directly or indirectly, has or shares voting power or investment power, and to beneficially own any shares of our capital stock as to which such person has the right to acquire voting or investment power within 60 days through the exercise of any stock option or other right. The percentage of beneficial ownership as to any person as of a particular date is calculated by dividing (a) (i) the number of shares beneficially owned by such person plus (ii) the number of shares as to which such person has the right to acquire voting or investment power within 60 days by (b) the total number of shares outstanding as of such date, plus any shares that such person has the right to acquire from us within 60 days. Including those shares in the tables does not, however, constitute an admission that the named stockholder is a direct or indirect beneficial owner of those shares. Unless otherwise indicated, each person or entity named in the table has sole voting power and investment power (or shares that power with that person’s spouse) with respect to all shares of capital stock listed as owned by that person or entity.</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as otherwise indicated, all shares are owned directly and the percentage shown is based on 13,606,676 shares of common stock issued and outstanding on December 31, 2010. Except as otherwise indicated, the address of each person named in this table is c/o OptimizeRx Corporation, 407 Sixth Street, Rochester, MI 48307.</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360" w:type="dxa"/>
            <w:vAlign w:val="bottom"/>
          </w:tcPr>
          <w:p>
            <w:pPr>
              <w:ind w:left="300"/>
              <w:spacing w:after="0"/>
              <w:rPr>
                <w:sz w:val="20"/>
                <w:szCs w:val="20"/>
                <w:color w:val="auto"/>
              </w:rPr>
            </w:pPr>
            <w:r>
              <w:rPr>
                <w:rFonts w:ascii="Arial" w:cs="Arial" w:eastAsia="Arial" w:hAnsi="Arial"/>
                <w:sz w:val="18"/>
                <w:szCs w:val="18"/>
                <w:b w:val="1"/>
                <w:bCs w:val="1"/>
                <w:color w:val="auto"/>
              </w:rPr>
              <w:t>Name and address</w:t>
            </w:r>
          </w:p>
        </w:tc>
        <w:tc>
          <w:tcPr>
            <w:tcW w:w="3300" w:type="dxa"/>
            <w:vAlign w:val="bottom"/>
          </w:tcPr>
          <w:p>
            <w:pPr>
              <w:ind w:left="1020"/>
              <w:spacing w:after="0"/>
              <w:rPr>
                <w:sz w:val="20"/>
                <w:szCs w:val="20"/>
                <w:color w:val="auto"/>
              </w:rPr>
            </w:pPr>
            <w:r>
              <w:rPr>
                <w:rFonts w:ascii="Arial" w:cs="Arial" w:eastAsia="Arial" w:hAnsi="Arial"/>
                <w:sz w:val="18"/>
                <w:szCs w:val="18"/>
                <w:b w:val="1"/>
                <w:bCs w:val="1"/>
                <w:color w:val="auto"/>
              </w:rPr>
              <w:t>Amount of</w:t>
            </w:r>
          </w:p>
        </w:tc>
        <w:tc>
          <w:tcPr>
            <w:tcW w:w="1220" w:type="dxa"/>
            <w:vAlign w:val="bottom"/>
          </w:tcPr>
          <w:p>
            <w:pPr>
              <w:spacing w:after="0"/>
              <w:rPr>
                <w:sz w:val="20"/>
                <w:szCs w:val="20"/>
                <w:color w:val="auto"/>
              </w:rPr>
            </w:pPr>
            <w:r>
              <w:rPr>
                <w:rFonts w:ascii="Arial" w:cs="Arial" w:eastAsia="Arial" w:hAnsi="Arial"/>
                <w:sz w:val="18"/>
                <w:szCs w:val="18"/>
                <w:b w:val="1"/>
                <w:bCs w:val="1"/>
                <w:color w:val="auto"/>
              </w:rPr>
              <w:t>Percent</w:t>
            </w:r>
          </w:p>
        </w:tc>
      </w:tr>
      <w:tr>
        <w:trPr>
          <w:trHeight w:val="234"/>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Title of class</w:t>
            </w:r>
          </w:p>
        </w:tc>
        <w:tc>
          <w:tcPr>
            <w:tcW w:w="3360" w:type="dxa"/>
            <w:vAlign w:val="bottom"/>
          </w:tcPr>
          <w:p>
            <w:pPr>
              <w:ind w:left="300"/>
              <w:spacing w:after="0"/>
              <w:rPr>
                <w:sz w:val="20"/>
                <w:szCs w:val="20"/>
                <w:color w:val="auto"/>
              </w:rPr>
            </w:pPr>
            <w:r>
              <w:rPr>
                <w:rFonts w:ascii="Arial" w:cs="Arial" w:eastAsia="Arial" w:hAnsi="Arial"/>
                <w:sz w:val="18"/>
                <w:szCs w:val="18"/>
                <w:b w:val="1"/>
                <w:bCs w:val="1"/>
                <w:color w:val="auto"/>
              </w:rPr>
              <w:t>of beneficial owner</w:t>
            </w:r>
          </w:p>
        </w:tc>
        <w:tc>
          <w:tcPr>
            <w:tcW w:w="3300" w:type="dxa"/>
            <w:vAlign w:val="bottom"/>
          </w:tcPr>
          <w:p>
            <w:pPr>
              <w:ind w:left="1020"/>
              <w:spacing w:after="0"/>
              <w:rPr>
                <w:sz w:val="20"/>
                <w:szCs w:val="20"/>
                <w:color w:val="auto"/>
              </w:rPr>
            </w:pPr>
            <w:r>
              <w:rPr>
                <w:rFonts w:ascii="Arial" w:cs="Arial" w:eastAsia="Arial" w:hAnsi="Arial"/>
                <w:sz w:val="18"/>
                <w:szCs w:val="18"/>
                <w:b w:val="1"/>
                <w:bCs w:val="1"/>
                <w:color w:val="auto"/>
              </w:rPr>
              <w:t>beneficial ownership</w:t>
            </w:r>
          </w:p>
        </w:tc>
        <w:tc>
          <w:tcPr>
            <w:tcW w:w="1220" w:type="dxa"/>
            <w:vAlign w:val="bottom"/>
          </w:tcPr>
          <w:p>
            <w:pPr>
              <w:spacing w:after="0"/>
              <w:rPr>
                <w:sz w:val="20"/>
                <w:szCs w:val="20"/>
                <w:color w:val="auto"/>
              </w:rPr>
            </w:pPr>
            <w:r>
              <w:rPr>
                <w:rFonts w:ascii="Arial" w:cs="Arial" w:eastAsia="Arial" w:hAnsi="Arial"/>
                <w:sz w:val="18"/>
                <w:szCs w:val="18"/>
                <w:b w:val="1"/>
                <w:bCs w:val="1"/>
                <w:color w:val="auto"/>
              </w:rPr>
              <w:t>of class</w:t>
            </w:r>
          </w:p>
        </w:tc>
      </w:tr>
      <w:tr>
        <w:trPr>
          <w:trHeight w:val="432"/>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&amp; Directors:</w:t>
            </w:r>
          </w:p>
        </w:tc>
        <w:tc>
          <w:tcPr>
            <w:tcW w:w="3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360" w:type="dxa"/>
            <w:vAlign w:val="bottom"/>
            <w:shd w:val="clear" w:color="auto" w:fill="CCEEFF"/>
          </w:tcPr>
          <w:p>
            <w:pPr>
              <w:ind w:left="300"/>
              <w:spacing w:after="0" w:line="216" w:lineRule="exact"/>
              <w:rPr>
                <w:sz w:val="20"/>
                <w:szCs w:val="20"/>
                <w:color w:val="auto"/>
              </w:rPr>
            </w:pPr>
            <w:r>
              <w:rPr>
                <w:rFonts w:ascii="Arial" w:cs="Arial" w:eastAsia="Arial" w:hAnsi="Arial"/>
                <w:sz w:val="18"/>
                <w:szCs w:val="18"/>
                <w:color w:val="auto"/>
              </w:rPr>
              <w:t>David Lester</w:t>
            </w:r>
            <w:r>
              <w:rPr>
                <w:rFonts w:ascii="Arial" w:cs="Arial" w:eastAsia="Arial" w:hAnsi="Arial"/>
                <w:sz w:val="25"/>
                <w:szCs w:val="25"/>
                <w:color w:val="auto"/>
                <w:vertAlign w:val="superscript"/>
              </w:rPr>
              <w:t>(1)</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518,000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Common</w:t>
            </w:r>
          </w:p>
        </w:tc>
        <w:tc>
          <w:tcPr>
            <w:tcW w:w="3360" w:type="dxa"/>
            <w:vAlign w:val="bottom"/>
          </w:tcPr>
          <w:p>
            <w:pPr>
              <w:ind w:left="300"/>
              <w:spacing w:after="0" w:line="216" w:lineRule="exact"/>
              <w:rPr>
                <w:sz w:val="20"/>
                <w:szCs w:val="20"/>
                <w:color w:val="auto"/>
              </w:rPr>
            </w:pPr>
            <w:r>
              <w:rPr>
                <w:rFonts w:ascii="Arial" w:cs="Arial" w:eastAsia="Arial" w:hAnsi="Arial"/>
                <w:sz w:val="18"/>
                <w:szCs w:val="18"/>
                <w:color w:val="auto"/>
              </w:rPr>
              <w:t>David A. Harrell</w:t>
            </w:r>
            <w:r>
              <w:rPr>
                <w:rFonts w:ascii="Arial" w:cs="Arial" w:eastAsia="Arial" w:hAnsi="Arial"/>
                <w:sz w:val="25"/>
                <w:szCs w:val="25"/>
                <w:color w:val="auto"/>
                <w:vertAlign w:val="superscript"/>
              </w:rPr>
              <w:t>(2)</w:t>
            </w:r>
          </w:p>
        </w:tc>
        <w:tc>
          <w:tcPr>
            <w:tcW w:w="3300" w:type="dxa"/>
            <w:vAlign w:val="bottom"/>
          </w:tcPr>
          <w:p>
            <w:pPr>
              <w:jc w:val="right"/>
              <w:spacing w:after="0"/>
              <w:rPr>
                <w:sz w:val="20"/>
                <w:szCs w:val="20"/>
                <w:color w:val="auto"/>
              </w:rPr>
            </w:pPr>
            <w:r>
              <w:rPr>
                <w:rFonts w:ascii="Arial" w:cs="Arial" w:eastAsia="Arial" w:hAnsi="Arial"/>
                <w:sz w:val="18"/>
                <w:szCs w:val="18"/>
                <w:color w:val="auto"/>
              </w:rPr>
              <w:t>3,436,250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360" w:type="dxa"/>
            <w:vAlign w:val="bottom"/>
            <w:shd w:val="clear" w:color="auto" w:fill="CCEEFF"/>
          </w:tcPr>
          <w:p>
            <w:pPr>
              <w:ind w:left="300"/>
              <w:spacing w:after="0" w:line="21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5"/>
                <w:szCs w:val="25"/>
                <w:color w:val="auto"/>
                <w:vertAlign w:val="superscript"/>
              </w:rPr>
              <w:t>(3)</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619,500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Common</w:t>
            </w:r>
          </w:p>
        </w:tc>
        <w:tc>
          <w:tcPr>
            <w:tcW w:w="3360" w:type="dxa"/>
            <w:vAlign w:val="bottom"/>
          </w:tcPr>
          <w:p>
            <w:pPr>
              <w:ind w:left="300"/>
              <w:spacing w:after="0"/>
              <w:rPr>
                <w:sz w:val="20"/>
                <w:szCs w:val="20"/>
                <w:color w:val="auto"/>
              </w:rPr>
            </w:pPr>
            <w:r>
              <w:rPr>
                <w:rFonts w:ascii="Arial" w:cs="Arial" w:eastAsia="Arial" w:hAnsi="Arial"/>
                <w:sz w:val="18"/>
                <w:szCs w:val="18"/>
                <w:color w:val="auto"/>
              </w:rPr>
              <w:t>Shad Shastney</w:t>
            </w:r>
          </w:p>
        </w:tc>
        <w:tc>
          <w:tcPr>
            <w:tcW w:w="3300" w:type="dxa"/>
            <w:vAlign w:val="bottom"/>
          </w:tcPr>
          <w:p>
            <w:pPr>
              <w:jc w:val="right"/>
              <w:spacing w:after="0"/>
              <w:rPr>
                <w:sz w:val="20"/>
                <w:szCs w:val="20"/>
                <w:color w:val="auto"/>
              </w:rPr>
            </w:pPr>
            <w:r>
              <w:rPr>
                <w:rFonts w:ascii="Arial" w:cs="Arial" w:eastAsia="Arial" w:hAnsi="Arial"/>
                <w:sz w:val="18"/>
                <w:szCs w:val="18"/>
                <w:color w:val="auto"/>
              </w:rPr>
              <w:t>0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of All Directors and Executive Officers: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4,573,750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31.42%</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More Than 5% Beneficial Owners:</w:t>
            </w:r>
          </w:p>
        </w:tc>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360" w:type="dxa"/>
            <w:vAlign w:val="bottom"/>
            <w:shd w:val="clear" w:color="auto" w:fill="CCEEFF"/>
          </w:tcPr>
          <w:p>
            <w:pPr>
              <w:ind w:left="300"/>
              <w:spacing w:after="0" w:line="216" w:lineRule="exact"/>
              <w:rPr>
                <w:sz w:val="20"/>
                <w:szCs w:val="20"/>
                <w:color w:val="auto"/>
              </w:rPr>
            </w:pPr>
            <w:r>
              <w:rPr>
                <w:rFonts w:ascii="Arial" w:cs="Arial" w:eastAsia="Arial" w:hAnsi="Arial"/>
                <w:sz w:val="18"/>
                <w:szCs w:val="18"/>
                <w:color w:val="auto"/>
              </w:rPr>
              <w:t>Cypress Trust</w:t>
            </w:r>
            <w:r>
              <w:rPr>
                <w:rFonts w:ascii="Arial" w:cs="Arial" w:eastAsia="Arial" w:hAnsi="Arial"/>
                <w:sz w:val="25"/>
                <w:szCs w:val="25"/>
                <w:color w:val="auto"/>
                <w:vertAlign w:val="superscript"/>
              </w:rPr>
              <w:t>(4)</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 shares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329"/>
        </w:trPr>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Common</w:t>
            </w:r>
          </w:p>
        </w:tc>
        <w:tc>
          <w:tcPr>
            <w:tcW w:w="3360" w:type="dxa"/>
            <w:vAlign w:val="bottom"/>
          </w:tcPr>
          <w:p>
            <w:pPr>
              <w:ind w:left="300"/>
              <w:spacing w:after="0"/>
              <w:rPr>
                <w:sz w:val="20"/>
                <w:szCs w:val="20"/>
                <w:color w:val="auto"/>
              </w:rPr>
            </w:pPr>
            <w:r>
              <w:rPr>
                <w:rFonts w:ascii="Arial" w:cs="Arial" w:eastAsia="Arial" w:hAnsi="Arial"/>
                <w:sz w:val="18"/>
                <w:szCs w:val="18"/>
                <w:color w:val="auto"/>
              </w:rPr>
              <w:t>Vicis Capital Master Fund</w:t>
            </w:r>
            <w:r>
              <w:rPr>
                <w:rFonts w:ascii="Arial" w:cs="Arial" w:eastAsia="Arial" w:hAnsi="Arial"/>
                <w:sz w:val="25"/>
                <w:szCs w:val="25"/>
                <w:color w:val="auto"/>
                <w:vertAlign w:val="superscript"/>
              </w:rPr>
              <w:t>(5)</w:t>
            </w:r>
          </w:p>
        </w:tc>
        <w:tc>
          <w:tcPr>
            <w:tcW w:w="3300" w:type="dxa"/>
            <w:vAlign w:val="bottom"/>
          </w:tcPr>
          <w:p>
            <w:pPr>
              <w:jc w:val="right"/>
              <w:spacing w:after="0"/>
              <w:rPr>
                <w:sz w:val="20"/>
                <w:szCs w:val="20"/>
                <w:color w:val="auto"/>
              </w:rPr>
            </w:pPr>
            <w:r>
              <w:rPr>
                <w:rFonts w:ascii="Arial" w:cs="Arial" w:eastAsia="Arial" w:hAnsi="Arial"/>
                <w:sz w:val="18"/>
                <w:szCs w:val="18"/>
                <w:color w:val="auto"/>
              </w:rPr>
              <w:t>9,910,520 shares</w:t>
            </w:r>
          </w:p>
        </w:tc>
        <w:tc>
          <w:tcPr>
            <w:tcW w:w="1220" w:type="dxa"/>
            <w:vAlign w:val="bottom"/>
          </w:tcPr>
          <w:p>
            <w:pPr>
              <w:jc w:val="right"/>
              <w:spacing w:after="0"/>
              <w:rPr>
                <w:sz w:val="20"/>
                <w:szCs w:val="20"/>
                <w:color w:val="auto"/>
              </w:rPr>
            </w:pPr>
            <w:r>
              <w:rPr>
                <w:rFonts w:ascii="Arial" w:cs="Arial" w:eastAsia="Arial" w:hAnsi="Arial"/>
                <w:sz w:val="18"/>
                <w:szCs w:val="18"/>
                <w:color w:val="auto"/>
              </w:rPr>
              <w:t>42. 89%</w:t>
            </w:r>
          </w:p>
        </w:tc>
      </w:tr>
    </w:tbl>
    <w:p>
      <w:pPr>
        <w:spacing w:after="0" w:line="116" w:lineRule="exact"/>
        <w:rPr>
          <w:sz w:val="20"/>
          <w:szCs w:val="20"/>
          <w:color w:val="auto"/>
        </w:rPr>
      </w:pPr>
    </w:p>
    <w:p>
      <w:pPr>
        <w:ind w:left="1380" w:right="1240" w:hanging="220"/>
        <w:spacing w:after="0" w:line="216"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18,000 shares held in his name and warrants to purchase 500,000 shares of common stock at a price of $0.35 per share.</w:t>
      </w:r>
    </w:p>
    <w:p>
      <w:pPr>
        <w:spacing w:after="0" w:line="1" w:lineRule="exact"/>
        <w:rPr>
          <w:rFonts w:ascii="Arial" w:cs="Arial" w:eastAsia="Arial" w:hAnsi="Arial"/>
          <w:sz w:val="25"/>
          <w:szCs w:val="25"/>
          <w:color w:val="auto"/>
          <w:vertAlign w:val="superscript"/>
        </w:rPr>
      </w:pPr>
    </w:p>
    <w:p>
      <w:pPr>
        <w:ind w:left="1380" w:right="1360" w:hanging="220"/>
        <w:spacing w:after="0" w:line="209"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3,136,250 shares held in his name, options to purchase 100,000 shares of common stock at a price of $1.00 per share, and options to purchase 200,000 shares of common stock at $1.81 per share.</w:t>
      </w:r>
    </w:p>
    <w:p>
      <w:pPr>
        <w:spacing w:after="0" w:line="1" w:lineRule="exact"/>
        <w:rPr>
          <w:rFonts w:ascii="Arial" w:cs="Arial" w:eastAsia="Arial" w:hAnsi="Arial"/>
          <w:sz w:val="25"/>
          <w:szCs w:val="25"/>
          <w:color w:val="auto"/>
          <w:vertAlign w:val="superscript"/>
        </w:rPr>
      </w:pPr>
    </w:p>
    <w:p>
      <w:pPr>
        <w:ind w:left="1380" w:right="1240" w:hanging="220"/>
        <w:spacing w:after="0" w:line="209"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469,500 shares held in his name and options to purchase 150,000 shares of common stock at a price of $1.00 per share.</w:t>
      </w:r>
    </w:p>
    <w:p>
      <w:pPr>
        <w:spacing w:after="0" w:line="1" w:lineRule="exact"/>
        <w:rPr>
          <w:rFonts w:ascii="Arial" w:cs="Arial" w:eastAsia="Arial" w:hAnsi="Arial"/>
          <w:sz w:val="25"/>
          <w:szCs w:val="25"/>
          <w:color w:val="auto"/>
          <w:vertAlign w:val="superscript"/>
        </w:rPr>
      </w:pPr>
    </w:p>
    <w:p>
      <w:pPr>
        <w:ind w:left="1380" w:right="1140" w:hanging="220"/>
        <w:spacing w:after="0" w:line="209"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spacing w:after="0" w:line="1" w:lineRule="exact"/>
        <w:rPr>
          <w:rFonts w:ascii="Arial" w:cs="Arial" w:eastAsia="Arial" w:hAnsi="Arial"/>
          <w:sz w:val="25"/>
          <w:szCs w:val="25"/>
          <w:color w:val="auto"/>
          <w:vertAlign w:val="superscript"/>
        </w:rPr>
      </w:pPr>
    </w:p>
    <w:p>
      <w:pPr>
        <w:ind w:left="1380" w:right="1140" w:hanging="220"/>
        <w:spacing w:after="0" w:line="232" w:lineRule="auto"/>
        <w:tabs>
          <w:tab w:leader="none" w:pos="138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Chris Phillips holds investment and dispositive power of the shares held by Vicis Capital Master Fund. Shares beneficially owned represent an aggregate of 9,910,520 shares of Common Stock, consisting of (i) 410,520 shares held; (ii) 3,500,000 shares issuable upon the conversion of the Series A Preferred Stock; and (iii) 6,000,000 shares issuable upon the exercise of the Series A Warrants. The selling stockholder has informed us that it is not a broker-dealer or affiliate of a broker-dealer.</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Except as follows, none of our directors or executive officers, nor any proposed nominee for election as a director, nor any person who beneficially owns, directly or indirectly, shares carrying more than 5% of the voting rights attached to all of our outstanding shares, nor any members of the immediate family (including spouse, parents, children, siblings, and in-laws) of any of the foregoing persons has any material interest, direct or indirect, in any transaction since the beginning of our last fiscal year on January 1, 2009 or in any presently proposed transaction which, in either case, has or will materially affect us.</w:t>
      </w:r>
    </w:p>
    <w:p>
      <w:pPr>
        <w:spacing w:after="0" w:line="181" w:lineRule="exact"/>
        <w:rPr>
          <w:sz w:val="20"/>
          <w:szCs w:val="20"/>
          <w:color w:val="auto"/>
        </w:rPr>
      </w:pPr>
    </w:p>
    <w:p>
      <w:pPr>
        <w:ind w:left="660" w:hanging="18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Please refer to the section titled Executive Compensation.</w:t>
      </w:r>
    </w:p>
    <w:p>
      <w:pPr>
        <w:spacing w:after="0" w:line="252" w:lineRule="exact"/>
        <w:rPr>
          <w:rFonts w:ascii="Arial" w:cs="Arial" w:eastAsia="Arial" w:hAnsi="Arial"/>
          <w:sz w:val="18"/>
          <w:szCs w:val="18"/>
          <w:color w:val="auto"/>
        </w:rPr>
      </w:pPr>
    </w:p>
    <w:p>
      <w:pPr>
        <w:ind w:left="660" w:hanging="18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engaged David Harrell for management services under a contract that paid him $48,000 for the period ended April 30, 2008 and $114,500 for the year ended December 31, 2008. Mr. Harrell became an employee of our company beginning on June 1, 2008.</w:t>
      </w:r>
    </w:p>
    <w:p>
      <w:pPr>
        <w:spacing w:after="0" w:line="197" w:lineRule="exact"/>
        <w:rPr>
          <w:rFonts w:ascii="Arial" w:cs="Arial" w:eastAsia="Arial" w:hAnsi="Arial"/>
          <w:sz w:val="18"/>
          <w:szCs w:val="18"/>
          <w:color w:val="auto"/>
        </w:rPr>
      </w:pPr>
    </w:p>
    <w:p>
      <w:pPr>
        <w:jc w:val="both"/>
        <w:ind w:left="660" w:hanging="184"/>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transfer of the assets and liabilities from the Optimizer Systems, LLC to OptimizeRx Corporation, the LLC members were issued promissory notes totaling $253,750 under a dilution agreement for a portion of their interests in Optimizer Systems, LLC, except for David Harrell, our director. Under the exchange agreement, dated April 8, 2008, Mr. Harrell is entitled to the same benefits other LLC members received, only against our company in exchange for waiving his anti-dilution rights.</w:t>
      </w:r>
    </w:p>
    <w:p>
      <w:pPr>
        <w:spacing w:after="0" w:line="213" w:lineRule="exact"/>
        <w:rPr>
          <w:rFonts w:ascii="Arial" w:cs="Arial" w:eastAsia="Arial" w:hAnsi="Arial"/>
          <w:sz w:val="18"/>
          <w:szCs w:val="18"/>
          <w:color w:val="auto"/>
        </w:rPr>
      </w:pPr>
    </w:p>
    <w:p>
      <w:pPr>
        <w:ind w:left="660" w:hanging="18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was a note to David Harrell for $4,000 and $24,000 at December 31, 2008 and 2007,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Below is the table of Audit Fees (amounts in US$) billed by our auditor in connection with the audit of the Company’s annual financial statements for the years ended: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gridSpan w:val="2"/>
          </w:tcPr>
          <w:p>
            <w:pPr>
              <w:ind w:left="1140"/>
              <w:spacing w:after="0"/>
              <w:rPr>
                <w:sz w:val="20"/>
                <w:szCs w:val="20"/>
                <w:color w:val="auto"/>
              </w:rPr>
            </w:pPr>
            <w:r>
              <w:rPr>
                <w:rFonts w:ascii="Arial" w:cs="Arial" w:eastAsia="Arial" w:hAnsi="Arial"/>
                <w:sz w:val="18"/>
                <w:szCs w:val="18"/>
                <w:color w:val="auto"/>
                <w:w w:val="98"/>
              </w:rPr>
              <w:t>Financial Statements for the Year Ended</w:t>
            </w:r>
          </w:p>
        </w:tc>
        <w:tc>
          <w:tcPr>
            <w:tcW w:w="1520" w:type="dxa"/>
            <w:vAlign w:val="bottom"/>
          </w:tcPr>
          <w:p>
            <w:pPr>
              <w:jc w:val="center"/>
              <w:spacing w:after="0"/>
              <w:rPr>
                <w:sz w:val="20"/>
                <w:szCs w:val="20"/>
                <w:color w:val="auto"/>
              </w:rPr>
            </w:pPr>
            <w:r>
              <w:rPr>
                <w:rFonts w:ascii="Arial" w:cs="Arial" w:eastAsia="Arial" w:hAnsi="Arial"/>
                <w:sz w:val="18"/>
                <w:szCs w:val="18"/>
                <w:color w:val="auto"/>
                <w:w w:val="93"/>
              </w:rPr>
              <w:t>Audit Services</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w w:val="90"/>
              </w:rPr>
              <w:t>Audit Related Fees</w:t>
            </w: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5"/>
              </w:rPr>
              <w:t>Tax Fees</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Other Fees</w:t>
            </w:r>
          </w:p>
        </w:tc>
        <w:tc>
          <w:tcPr>
            <w:tcW w:w="1140" w:type="dxa"/>
            <w:vAlign w:val="bottom"/>
          </w:tcPr>
          <w:p>
            <w:pPr>
              <w:spacing w:after="0"/>
              <w:rPr>
                <w:sz w:val="18"/>
                <w:szCs w:val="18"/>
                <w:color w:val="auto"/>
              </w:rPr>
            </w:pPr>
          </w:p>
        </w:tc>
      </w:tr>
      <w:tr>
        <w:trPr>
          <w:trHeight w:val="237"/>
        </w:trPr>
        <w:tc>
          <w:tcPr>
            <w:tcW w:w="4340" w:type="dxa"/>
            <w:vAlign w:val="bottom"/>
            <w:gridSpan w:val="2"/>
          </w:tcPr>
          <w:p>
            <w:pPr>
              <w:ind w:left="1140"/>
              <w:spacing w:after="0"/>
              <w:rPr>
                <w:sz w:val="20"/>
                <w:szCs w:val="20"/>
                <w:color w:val="auto"/>
              </w:rPr>
            </w:pPr>
            <w:r>
              <w:rPr>
                <w:rFonts w:ascii="Arial" w:cs="Arial" w:eastAsia="Arial" w:hAnsi="Arial"/>
                <w:sz w:val="18"/>
                <w:szCs w:val="18"/>
                <w:color w:val="auto"/>
              </w:rPr>
              <w:t>December 31</w:t>
            </w: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$23,981</w:t>
            </w:r>
          </w:p>
        </w:tc>
        <w:tc>
          <w:tcPr>
            <w:tcW w:w="166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89"/>
              </w:rPr>
              <w:t>$0</w:t>
            </w:r>
          </w:p>
        </w:tc>
        <w:tc>
          <w:tcPr>
            <w:tcW w:w="122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$0</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2010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$24,650</w:t>
            </w:r>
          </w:p>
        </w:tc>
        <w:tc>
          <w:tcPr>
            <w:tcW w:w="1660" w:type="dxa"/>
            <w:vAlign w:val="bottom"/>
          </w:tcPr>
          <w:p>
            <w:pPr>
              <w:jc w:val="center"/>
              <w:ind w:right="110"/>
              <w:spacing w:after="0"/>
              <w:rPr>
                <w:sz w:val="20"/>
                <w:szCs w:val="20"/>
                <w:color w:val="auto"/>
              </w:rPr>
            </w:pPr>
            <w:r>
              <w:rPr>
                <w:rFonts w:ascii="Arial" w:cs="Arial" w:eastAsia="Arial" w:hAnsi="Arial"/>
                <w:sz w:val="18"/>
                <w:szCs w:val="18"/>
                <w:color w:val="auto"/>
                <w:w w:val="89"/>
              </w:rPr>
              <w:t>$0</w:t>
            </w: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9"/>
              </w:rPr>
              <w:t>$0</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1140" w:type="dxa"/>
            <w:vAlign w:val="bottom"/>
          </w:tcPr>
          <w:p>
            <w:pPr>
              <w:spacing w:after="0"/>
              <w:rPr>
                <w:sz w:val="20"/>
                <w:szCs w:val="20"/>
                <w:color w:val="auto"/>
              </w:rPr>
            </w:pPr>
          </w:p>
        </w:tc>
      </w:tr>
      <w:tr>
        <w:trPr>
          <w:trHeight w:val="593"/>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3"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56" w:lineRule="exact"/>
        <w:rPr>
          <w:sz w:val="20"/>
          <w:szCs w:val="20"/>
          <w:color w:val="auto"/>
        </w:rPr>
      </w:pPr>
    </w:p>
    <w:p>
      <w:pPr>
        <w:ind w:left="660" w:hanging="304"/>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and Schedules</w:t>
      </w:r>
    </w:p>
    <w:p>
      <w:pPr>
        <w:spacing w:after="0" w:line="23" w:lineRule="exact"/>
        <w:rPr>
          <w:rFonts w:ascii="Arial" w:cs="Arial" w:eastAsia="Arial" w:hAnsi="Arial"/>
          <w:sz w:val="18"/>
          <w:szCs w:val="18"/>
          <w:i w:val="1"/>
          <w:iCs w:val="1"/>
          <w:color w:val="auto"/>
        </w:rPr>
      </w:pPr>
    </w:p>
    <w:p>
      <w:pPr>
        <w:ind w:left="660" w:right="2779"/>
        <w:spacing w:after="0" w:line="261" w:lineRule="auto"/>
        <w:rPr>
          <w:rFonts w:ascii="Arial" w:cs="Arial" w:eastAsia="Arial" w:hAnsi="Arial"/>
          <w:sz w:val="18"/>
          <w:szCs w:val="18"/>
          <w:i w:val="1"/>
          <w:iCs w:val="1"/>
          <w:color w:val="auto"/>
        </w:rPr>
      </w:pPr>
      <w:r>
        <w:rPr>
          <w:rFonts w:ascii="Arial" w:cs="Arial" w:eastAsia="Arial" w:hAnsi="Arial"/>
          <w:sz w:val="18"/>
          <w:szCs w:val="18"/>
          <w:color w:val="auto"/>
        </w:rPr>
        <w:t>The following financial statements and schedules listed below are included in this Form 10-K. Financial Statements (See Item 8)</w:t>
      </w:r>
    </w:p>
    <w:p>
      <w:pPr>
        <w:spacing w:after="0" w:line="210" w:lineRule="exact"/>
        <w:rPr>
          <w:rFonts w:ascii="Arial" w:cs="Arial" w:eastAsia="Arial" w:hAnsi="Arial"/>
          <w:sz w:val="18"/>
          <w:szCs w:val="18"/>
          <w:i w:val="1"/>
          <w:iCs w:val="1"/>
          <w:color w:val="auto"/>
        </w:rPr>
      </w:pPr>
    </w:p>
    <w:p>
      <w:pPr>
        <w:ind w:left="660" w:hanging="304"/>
        <w:spacing w:after="0"/>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gridSpan w:val="2"/>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Number</w:t>
            </w:r>
          </w:p>
        </w:tc>
        <w:tc>
          <w:tcPr>
            <w:tcW w:w="9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380" w:type="dxa"/>
            <w:vAlign w:val="bottom"/>
            <w:gridSpan w:val="6"/>
            <w:shd w:val="clear" w:color="auto" w:fill="CCEEFF"/>
          </w:tcPr>
          <w:p>
            <w:pPr>
              <w:spacing w:after="0" w:line="216" w:lineRule="exact"/>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6"/>
          </w:tcPr>
          <w:p>
            <w:pPr>
              <w:spacing w:after="0" w:line="216" w:lineRule="exact"/>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38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5"/>
              </w:rPr>
              <w:t>Certificate of Designation, filed on September 5, 2008, with the Secretary of State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380" w:type="dxa"/>
            <w:vAlign w:val="bottom"/>
            <w:gridSpan w:val="6"/>
            <w:shd w:val="clear" w:color="auto" w:fill="CCEEFF"/>
          </w:tcPr>
          <w:p>
            <w:pPr>
              <w:spacing w:after="0" w:line="230" w:lineRule="exact"/>
              <w:rPr>
                <w:sz w:val="20"/>
                <w:szCs w:val="20"/>
                <w:color w:val="auto"/>
              </w:rPr>
            </w:pPr>
            <w:r>
              <w:rPr>
                <w:rFonts w:ascii="Arial" w:cs="Arial" w:eastAsia="Arial" w:hAnsi="Arial"/>
                <w:sz w:val="18"/>
                <w:szCs w:val="18"/>
                <w:color w:val="auto"/>
              </w:rPr>
              <w:t>the State of Nevada by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380" w:type="dxa"/>
            <w:vAlign w:val="bottom"/>
            <w:gridSpan w:val="6"/>
          </w:tcPr>
          <w:p>
            <w:pPr>
              <w:spacing w:after="0" w:line="216" w:lineRule="exact"/>
              <w:rPr>
                <w:sz w:val="20"/>
                <w:szCs w:val="20"/>
                <w:color w:val="auto"/>
              </w:rPr>
            </w:pPr>
            <w:r>
              <w:rPr>
                <w:rFonts w:ascii="Arial" w:cs="Arial" w:eastAsia="Arial" w:hAnsi="Arial"/>
                <w:sz w:val="18"/>
                <w:szCs w:val="18"/>
                <w:color w:val="auto"/>
              </w:rPr>
              <w:t>List of Subsidiaries</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23.1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3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92"/>
              </w:rPr>
              <w:t>Section 302</w:t>
            </w:r>
          </w:p>
        </w:tc>
        <w:tc>
          <w:tcPr>
            <w:tcW w:w="3420" w:type="dxa"/>
            <w:vAlign w:val="bottom"/>
            <w:tcBorders>
              <w:top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rPr>
              <w:t>Certification of Principal Executive Officer</w:t>
            </w:r>
          </w:p>
        </w:tc>
        <w:tc>
          <w:tcPr>
            <w:tcW w:w="20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gridSpan w:val="2"/>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0000EE"/>
                <w:w w:val="92"/>
              </w:rPr>
              <w:t>Section 302</w:t>
            </w:r>
          </w:p>
        </w:tc>
        <w:tc>
          <w:tcPr>
            <w:tcW w:w="5480" w:type="dxa"/>
            <w:vAlign w:val="bottom"/>
            <w:gridSpan w:val="5"/>
          </w:tcPr>
          <w:p>
            <w:pPr>
              <w:spacing w:after="0" w:line="176" w:lineRule="exact"/>
              <w:rPr>
                <w:sz w:val="20"/>
                <w:szCs w:val="20"/>
                <w:color w:val="auto"/>
              </w:rPr>
            </w:pPr>
            <w:r>
              <w:rPr>
                <w:rFonts w:ascii="Arial" w:cs="Arial" w:eastAsia="Arial" w:hAnsi="Arial"/>
                <w:sz w:val="18"/>
                <w:szCs w:val="18"/>
                <w:color w:val="0000EE"/>
              </w:rPr>
              <w:t>Certification of Principal Financial Officer</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92"/>
              </w:rPr>
              <w:t>Section 906</w:t>
            </w:r>
          </w:p>
        </w:tc>
        <w:tc>
          <w:tcPr>
            <w:tcW w:w="54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95"/>
              </w:rPr>
              <w:t>Certification of Principal Executive Officer and Principal Financial Officer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Incorporated by reference to the Form S-1, filed by the Company with the Securities and Exchange Commission on November 12, 2008.</w:t>
      </w: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thereunto duly authorized.</w:t>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OptimizeRx Corporation</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Lester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Principal Financial Officer, Principal Accounting Officer and Director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12, 2011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color w:val="auto"/>
              </w:rPr>
              <w:t>By:  /s/ David Harrell</w:t>
            </w:r>
          </w:p>
        </w:tc>
        <w:tc>
          <w:tcPr>
            <w:tcW w:w="3200" w:type="dxa"/>
            <w:vAlign w:val="bottom"/>
            <w:gridSpan w:val="2"/>
          </w:tcPr>
          <w:p>
            <w:pPr>
              <w:ind w:left="1220"/>
              <w:spacing w:after="0"/>
              <w:rPr>
                <w:sz w:val="20"/>
                <w:szCs w:val="20"/>
                <w:color w:val="auto"/>
              </w:rPr>
            </w:pPr>
            <w:r>
              <w:rPr>
                <w:rFonts w:ascii="Arial" w:cs="Arial" w:eastAsia="Arial" w:hAnsi="Arial"/>
                <w:sz w:val="18"/>
                <w:szCs w:val="18"/>
                <w:color w:val="auto"/>
                <w:w w:val="90"/>
              </w:rPr>
              <w:t>By: /s/ Terence J. Hamilton</w:t>
            </w:r>
          </w:p>
        </w:tc>
      </w:tr>
      <w:tr>
        <w:trPr>
          <w:trHeight w:val="20"/>
        </w:trPr>
        <w:tc>
          <w:tcPr>
            <w:tcW w:w="4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David Harrell</w:t>
            </w:r>
          </w:p>
        </w:tc>
        <w:tc>
          <w:tcPr>
            <w:tcW w:w="3200" w:type="dxa"/>
            <w:vAlign w:val="bottom"/>
            <w:gridSpan w:val="2"/>
          </w:tcPr>
          <w:p>
            <w:pPr>
              <w:ind w:left="1220"/>
              <w:spacing w:after="0"/>
              <w:rPr>
                <w:sz w:val="20"/>
                <w:szCs w:val="20"/>
                <w:color w:val="auto"/>
              </w:rPr>
            </w:pPr>
            <w:r>
              <w:rPr>
                <w:rFonts w:ascii="Arial" w:cs="Arial" w:eastAsia="Arial" w:hAnsi="Arial"/>
                <w:sz w:val="18"/>
                <w:szCs w:val="18"/>
                <w:color w:val="auto"/>
              </w:rPr>
              <w:t>Terence J. Hamilton</w:t>
            </w:r>
          </w:p>
        </w:tc>
      </w:tr>
      <w:tr>
        <w:trPr>
          <w:trHeight w:val="230"/>
        </w:trPr>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Director</w:t>
            </w:r>
          </w:p>
        </w:tc>
        <w:tc>
          <w:tcPr>
            <w:tcW w:w="3200" w:type="dxa"/>
            <w:vAlign w:val="bottom"/>
            <w:gridSpan w:val="2"/>
          </w:tcPr>
          <w:p>
            <w:pPr>
              <w:ind w:left="1220"/>
              <w:spacing w:after="0"/>
              <w:rPr>
                <w:sz w:val="20"/>
                <w:szCs w:val="20"/>
                <w:color w:val="auto"/>
              </w:rPr>
            </w:pPr>
            <w:r>
              <w:rPr>
                <w:rFonts w:ascii="Arial" w:cs="Arial" w:eastAsia="Arial" w:hAnsi="Arial"/>
                <w:sz w:val="18"/>
                <w:szCs w:val="18"/>
                <w:color w:val="auto"/>
              </w:rPr>
              <w:t>Director</w:t>
            </w:r>
          </w:p>
        </w:tc>
      </w:tr>
      <w:tr>
        <w:trPr>
          <w:trHeight w:val="432"/>
        </w:trPr>
        <w:tc>
          <w:tcPr>
            <w:tcW w:w="46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April 12, 2011</w:t>
            </w:r>
          </w:p>
        </w:tc>
        <w:tc>
          <w:tcPr>
            <w:tcW w:w="3200" w:type="dxa"/>
            <w:vAlign w:val="bottom"/>
            <w:gridSpan w:val="2"/>
          </w:tcPr>
          <w:p>
            <w:pPr>
              <w:ind w:left="1220"/>
              <w:spacing w:after="0"/>
              <w:rPr>
                <w:sz w:val="20"/>
                <w:szCs w:val="20"/>
                <w:color w:val="auto"/>
              </w:rPr>
            </w:pPr>
            <w:r>
              <w:rPr>
                <w:rFonts w:ascii="Arial" w:cs="Arial" w:eastAsia="Arial" w:hAnsi="Arial"/>
                <w:sz w:val="18"/>
                <w:szCs w:val="18"/>
                <w:color w:val="auto"/>
              </w:rPr>
              <w:t>April 12, 2011</w:t>
            </w:r>
          </w:p>
        </w:tc>
      </w:tr>
    </w:tbl>
    <w:p>
      <w:pPr>
        <w:sectPr>
          <w:pgSz w:w="11900" w:h="16838" w:orient="portrait"/>
          <w:cols w:equalWidth="0" w:num="1">
            <w:col w:w="11320"/>
          </w:cols>
          <w:pgMar w:left="24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www.sucpas.com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April 11, 2011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Silberstein Ungar, PLLC hereby consents to the use in the Form 10-K/A Amendment #1, Annual Report under Section 13 or 15(d) of the Securities Exchange Act of 1934, filed by OptimizeRx Corporation of our report dated March 30, 2011, relating to the consolidated financial statements of OptimizeRx Corporation, a Nevada Corporation, as of and for the years ending December 31, 2010 and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w:t>
      </w:r>
    </w:p>
    <w:p>
      <w:pPr>
        <w:sectPr>
          <w:pgSz w:w="11900" w:h="16838" w:orient="portrait"/>
          <w:cols w:equalWidth="0" w:num="1">
            <w:col w:w="11420"/>
          </w:cols>
          <w:pgMar w:left="240" w:top="12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amended annual report on Form 10-K/A for the year ended December 31, 2010 of OPTIMIZERx Corp (the “registrant”);</w:t>
      </w:r>
    </w:p>
    <w:p>
      <w:pPr>
        <w:spacing w:after="0" w:line="236" w:lineRule="exact"/>
        <w:rPr>
          <w:rFonts w:ascii="Arial" w:cs="Arial" w:eastAsia="Arial" w:hAnsi="Arial"/>
          <w:sz w:val="17"/>
          <w:szCs w:val="17"/>
          <w:color w:val="auto"/>
        </w:rPr>
      </w:pPr>
    </w:p>
    <w:p>
      <w:pPr>
        <w:ind w:left="380" w:right="60" w:hanging="372"/>
        <w:spacing w:after="0" w:line="34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40" w:right="160" w:hanging="533"/>
        <w:spacing w:after="0" w:line="264"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40" w:right="280" w:hanging="543"/>
        <w:spacing w:after="0" w:line="264"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40" w:right="460" w:hanging="533"/>
        <w:spacing w:after="0" w:line="342"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40" w:right="180" w:hanging="543"/>
        <w:spacing w:after="0" w:line="264"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40" w:right="700" w:hanging="533"/>
        <w:spacing w:after="0" w:line="342" w:lineRule="auto"/>
        <w:tabs>
          <w:tab w:leader="none" w:pos="12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40" w:right="380" w:hanging="543"/>
        <w:spacing w:after="0" w:line="277" w:lineRule="auto"/>
        <w:tabs>
          <w:tab w:leader="none" w:pos="12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amended annual report on Form 10-K/A for the year ended December 31, 2010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40" w:right="160" w:hanging="533"/>
        <w:spacing w:after="0" w:line="264"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40" w:right="280" w:hanging="543"/>
        <w:spacing w:after="0" w:line="264"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40" w:right="460" w:hanging="533"/>
        <w:spacing w:after="0" w:line="342"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40" w:right="180" w:hanging="543"/>
        <w:spacing w:after="0" w:line="264"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60" w:hanging="372"/>
        <w:spacing w:after="0" w:line="30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40" w:right="700" w:hanging="533"/>
        <w:spacing w:after="0" w:line="342" w:lineRule="auto"/>
        <w:tabs>
          <w:tab w:leader="none" w:pos="12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40" w:right="380" w:hanging="543"/>
        <w:spacing w:after="0" w:line="277" w:lineRule="auto"/>
        <w:tabs>
          <w:tab w:leader="none" w:pos="1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t>CERTIFICATION OF CHIEF EXECUTIVE OFFICER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amended annual Report of OPTIMIZERx Corp (the “Company”) on Form 10-K/A for the year ended December 31, 2010 filed with the Securities and Exchange Commission (the “Report”), I, David Lester, Chief Executive Officer and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500" w:hanging="23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1720" w:type="dxa"/>
            <w:vAlign w:val="bottom"/>
          </w:tcPr>
          <w:p>
            <w:pPr>
              <w:spacing w:after="0"/>
              <w:rPr>
                <w:sz w:val="17"/>
                <w:szCs w:val="17"/>
                <w:color w:val="auto"/>
              </w:rPr>
            </w:pPr>
          </w:p>
        </w:tc>
      </w:tr>
      <w:tr>
        <w:trPr>
          <w:trHeight w:val="453"/>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880" w:type="dxa"/>
            <w:vAlign w:val="bottom"/>
            <w:gridSpan w:val="2"/>
          </w:tcPr>
          <w:p>
            <w:pPr>
              <w:spacing w:after="0"/>
              <w:rPr>
                <w:sz w:val="20"/>
                <w:szCs w:val="20"/>
                <w:color w:val="auto"/>
              </w:rPr>
            </w:pPr>
            <w:r>
              <w:rPr>
                <w:rFonts w:ascii="Arial" w:cs="Arial" w:eastAsia="Arial" w:hAnsi="Arial"/>
                <w:sz w:val="18"/>
                <w:szCs w:val="18"/>
                <w:color w:val="auto"/>
              </w:rPr>
              <w:t>David Lester</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68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 and Director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gridSpan w:val="2"/>
          </w:tcPr>
          <w:p>
            <w:pPr>
              <w:spacing w:after="0"/>
              <w:rPr>
                <w:sz w:val="20"/>
                <w:szCs w:val="20"/>
                <w:color w:val="auto"/>
              </w:rPr>
            </w:pPr>
            <w:r>
              <w:rPr>
                <w:rFonts w:ascii="Arial" w:cs="Arial" w:eastAsia="Arial" w:hAnsi="Arial"/>
                <w:sz w:val="18"/>
                <w:szCs w:val="18"/>
                <w:color w:val="auto"/>
              </w:rPr>
              <w:t>April 12, 2011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2"/>
    </w:lvl>
  </w:abstractNum>
  <w:abstractNum w:abstractNumId="9">
    <w:nsid w:val="DED7263"/>
    <w:multiLevelType w:val="hybridMultilevel"/>
    <w:lvl w:ilvl="0">
      <w:lvlJc w:val="left"/>
      <w:lvlText w:val="(%1)"/>
      <w:numFmt w:val="decimal"/>
      <w:start w:val="3"/>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2019-12-11T07:59:43Z</dcterms:created>
  <dcterms:modified xsi:type="dcterms:W3CDTF">2019-12-11T07:59:43Z</dcterms:modified>
</cp:coreProperties>
</file>