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___)*</w:t>
      </w:r>
    </w:p>
    <w:p>
      <w:pPr>
        <w:spacing w:after="0" w:line="18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u w:val="single" w:color="auto"/>
          <w:color w:val="auto"/>
        </w:rPr>
        <w:t>OptimizeRx Corporation</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68401U105</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u w:val="single" w:color="auto"/>
          <w:color w:val="auto"/>
        </w:rPr>
        <w:t>February 15, 2021</w:t>
      </w:r>
    </w:p>
    <w:p>
      <w:pPr>
        <w:spacing w:after="0" w:line="1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60" w:right="9100" w:hanging="1"/>
        <w:spacing w:after="0" w:line="456" w:lineRule="auto"/>
        <w:tabs>
          <w:tab w:leader="none" w:pos="91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[_] Rule 13d-1(c)</w:t>
      </w:r>
    </w:p>
    <w:p>
      <w:pPr>
        <w:ind w:left="5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 Rule 13d-1(d)</w:t>
      </w:r>
    </w:p>
    <w:p>
      <w:pPr>
        <w:spacing w:after="0" w:line="20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24942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171450"/>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345440</wp:posOffset>
            </wp:positionV>
            <wp:extent cx="7132320" cy="7209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91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44" w:right="8460" w:hanging="544"/>
        <w:spacing w:after="0" w:line="571" w:lineRule="auto"/>
        <w:tabs>
          <w:tab w:leader="none" w:pos="54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Harvey L. Poppel</w:t>
      </w:r>
    </w:p>
    <w:p>
      <w:pPr>
        <w:spacing w:after="0" w:line="1" w:lineRule="exact"/>
        <w:rPr>
          <w:sz w:val="20"/>
          <w:szCs w:val="20"/>
          <w:color w:val="auto"/>
        </w:rPr>
      </w:pPr>
    </w:p>
    <w:p>
      <w:pPr>
        <w:ind w:left="544" w:hanging="544"/>
        <w:spacing w:after="0"/>
        <w:tabs>
          <w:tab w:leader="none" w:pos="5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83" w:lineRule="exact"/>
        <w:rPr>
          <w:rFonts w:ascii="Times New Roman" w:cs="Times New Roman" w:eastAsia="Times New Roman" w:hAnsi="Times New Roman"/>
          <w:sz w:val="18"/>
          <w:szCs w:val="18"/>
          <w:b w:val="1"/>
          <w:bCs w:val="1"/>
          <w:color w:val="auto"/>
        </w:rPr>
      </w:pPr>
    </w:p>
    <w:p>
      <w:pPr>
        <w:ind w:left="1064" w:hanging="241"/>
        <w:spacing w:after="0"/>
        <w:tabs>
          <w:tab w:leader="none" w:pos="10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(1)</w:t>
      </w:r>
    </w:p>
    <w:p>
      <w:pPr>
        <w:spacing w:after="0" w:line="36" w:lineRule="exact"/>
        <w:rPr>
          <w:rFonts w:ascii="Times New Roman" w:cs="Times New Roman" w:eastAsia="Times New Roman" w:hAnsi="Times New Roman"/>
          <w:sz w:val="18"/>
          <w:szCs w:val="18"/>
          <w:color w:val="auto"/>
        </w:rPr>
      </w:pPr>
    </w:p>
    <w:p>
      <w:pPr>
        <w:ind w:left="1084" w:hanging="261"/>
        <w:spacing w:after="0"/>
        <w:tabs>
          <w:tab w:leader="none" w:pos="10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89" w:lineRule="exact"/>
        <w:rPr>
          <w:sz w:val="20"/>
          <w:szCs w:val="20"/>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83"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Florida, U.S.</w:t>
      </w:r>
    </w:p>
    <w:p>
      <w:pPr>
        <w:spacing w:after="0" w:line="45" w:lineRule="exact"/>
        <w:rPr>
          <w:rFonts w:ascii="Times New Roman" w:cs="Times New Roman" w:eastAsia="Times New Roman" w:hAnsi="Times New Roman"/>
          <w:sz w:val="18"/>
          <w:szCs w:val="18"/>
          <w:b w:val="1"/>
          <w:bCs w:val="1"/>
          <w:color w:val="auto"/>
        </w:rPr>
      </w:pPr>
    </w:p>
    <w:p>
      <w:pPr>
        <w:ind w:left="170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Sole Voting Power</w:t>
      </w:r>
    </w:p>
    <w:p>
      <w:pPr>
        <w:spacing w:after="0" w:line="279" w:lineRule="exact"/>
        <w:rPr>
          <w:sz w:val="20"/>
          <w:szCs w:val="20"/>
          <w:color w:val="auto"/>
        </w:rPr>
      </w:pPr>
    </w:p>
    <w:tbl>
      <w:tblPr>
        <w:tblLayout w:type="fixed"/>
        <w:tblInd w:w="144" w:type="dxa"/>
        <w:tblCellMar>
          <w:top w:w="0" w:type="dxa"/>
          <w:left w:w="0" w:type="dxa"/>
          <w:bottom w:w="0" w:type="dxa"/>
          <w:right w:w="0" w:type="dxa"/>
        </w:tblCellMar>
      </w:tblPr>
      <w:tr>
        <w:trPr>
          <w:trHeight w:val="245"/>
        </w:trPr>
        <w:tc>
          <w:tcPr>
            <w:tcW w:w="15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1F497D"/>
              </w:rPr>
              <w:t>762,660</w:t>
            </w:r>
          </w:p>
        </w:tc>
      </w:tr>
      <w:tr>
        <w:trPr>
          <w:trHeight w:val="473"/>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r>
      <w:tr>
        <w:trPr>
          <w:trHeight w:val="243"/>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50"/>
        </w:trPr>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60" w:type="dxa"/>
            <w:vAlign w:val="bottom"/>
            <w:tcBorders>
              <w:bottom w:val="single" w:sz="8" w:color="auto"/>
            </w:tcBorders>
          </w:tcPr>
          <w:p>
            <w:pPr>
              <w:spacing w:after="0"/>
              <w:rPr>
                <w:sz w:val="21"/>
                <w:szCs w:val="21"/>
                <w:color w:val="auto"/>
              </w:rPr>
            </w:pPr>
          </w:p>
        </w:tc>
        <w:tc>
          <w:tcPr>
            <w:tcW w:w="9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1F497D"/>
              </w:rPr>
              <w:t>762,660</w:t>
            </w:r>
          </w:p>
        </w:tc>
      </w:tr>
      <w:tr>
        <w:trPr>
          <w:trHeight w:val="216"/>
        </w:trPr>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3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5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r>
      <w:tr>
        <w:trPr>
          <w:trHeight w:val="243"/>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36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57"/>
        </w:trPr>
        <w:tc>
          <w:tcPr>
            <w:tcW w:w="1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180" w:type="dxa"/>
            <w:vAlign w:val="bottom"/>
            <w:tcBorders>
              <w:bottom w:val="single" w:sz="8" w:color="auto"/>
            </w:tcBorders>
          </w:tcPr>
          <w:p>
            <w:pPr>
              <w:spacing w:after="0"/>
              <w:rPr>
                <w:sz w:val="22"/>
                <w:szCs w:val="22"/>
                <w:color w:val="auto"/>
              </w:rPr>
            </w:pPr>
          </w:p>
        </w:tc>
      </w:tr>
      <w:tr>
        <w:trPr>
          <w:trHeight w:val="466"/>
        </w:trPr>
        <w:tc>
          <w:tcPr>
            <w:tcW w:w="15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r>
      <w:tr>
        <w:trPr>
          <w:trHeight w:val="486"/>
        </w:trPr>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1F497D"/>
              </w:rPr>
              <w:t>762,660</w:t>
            </w:r>
          </w:p>
        </w:tc>
      </w:tr>
    </w:tbl>
    <w:p>
      <w:pPr>
        <w:spacing w:after="0" w:line="18" w:lineRule="exact"/>
        <w:rPr>
          <w:sz w:val="20"/>
          <w:szCs w:val="20"/>
          <w:color w:val="auto"/>
        </w:rPr>
      </w:pPr>
    </w:p>
    <w:p>
      <w:pPr>
        <w:ind w:left="544" w:right="5580" w:hanging="544"/>
        <w:spacing w:after="0" w:line="571" w:lineRule="auto"/>
        <w:tabs>
          <w:tab w:leader="none" w:pos="54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b w:val="1"/>
          <w:bCs w:val="1"/>
          <w:color w:val="1F497D"/>
        </w:rPr>
        <w:t>762,660</w:t>
      </w:r>
    </w:p>
    <w:p>
      <w:pPr>
        <w:spacing w:after="0" w:line="1" w:lineRule="exact"/>
        <w:rPr>
          <w:sz w:val="20"/>
          <w:szCs w:val="20"/>
          <w:color w:val="auto"/>
        </w:rPr>
      </w:pPr>
    </w:p>
    <w:p>
      <w:pPr>
        <w:ind w:left="544" w:right="3960" w:hanging="544"/>
        <w:spacing w:after="0" w:line="571" w:lineRule="auto"/>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ind w:left="544" w:right="6860" w:hanging="544"/>
        <w:spacing w:after="0" w:line="571" w:lineRule="auto"/>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(9) 4.6% (2)</w:t>
      </w: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283"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4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146050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04"/>
          </w:cols>
          <w:pgMar w:left="356" w:top="108" w:right="339" w:bottom="1440" w:gutter="0" w:footer="0" w:header="0"/>
        </w:sectPr>
      </w:pPr>
    </w:p>
    <w:bookmarkStart w:id="2" w:name="page3"/>
    <w:bookmarkEnd w:id="2"/>
    <w:p>
      <w:pPr>
        <w:jc w:val="both"/>
        <w:ind w:firstLine="8"/>
        <w:spacing w:after="0" w:line="234" w:lineRule="auto"/>
        <w:tabs>
          <w:tab w:leader="none" w:pos="3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total which includes 762,660 common shares held directly by Harvey L. Poppel on behalf of Harvey L. Poppel, Lee, A. Poppel, Harvey L. Poppel IRA, Lee Poppel IRA, Dr. Clinton S. Poppel, Dr. Clinton S. Poppel 401K &amp; IRAs, Helen M Poppel, Helen M. Poppel IRAs,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79" w:lineRule="exact"/>
        <w:rPr>
          <w:rFonts w:ascii="Times New Roman" w:cs="Times New Roman" w:eastAsia="Times New Roman" w:hAnsi="Times New Roman"/>
          <w:sz w:val="22"/>
          <w:szCs w:val="22"/>
          <w:color w:val="auto"/>
        </w:rPr>
      </w:pPr>
    </w:p>
    <w:p>
      <w:pPr>
        <w:ind w:firstLine="8"/>
        <w:spacing w:after="0" w:line="258" w:lineRule="auto"/>
        <w:tabs>
          <w:tab w:leader="none" w:pos="3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percentage is calculated based upon 16.600,000 voting shares of the Issuers common stock outstanding as of February 12,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OptimizeRx Corporation</w:t>
      </w:r>
    </w:p>
    <w:p>
      <w:pPr>
        <w:spacing w:after="0" w:line="18"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400 Water St. Ste. 200, Rochester, Michigan 48307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5" w:lineRule="exact"/>
        <w:rPr>
          <w:sz w:val="20"/>
          <w:szCs w:val="20"/>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 Harvey L. Poppel</w:t>
      </w:r>
    </w:p>
    <w:p>
      <w:pPr>
        <w:spacing w:after="0" w:line="225"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 110 El Mirasol, Palm Beach FL 33480</w:t>
      </w:r>
    </w:p>
    <w:p>
      <w:pPr>
        <w:spacing w:after="0" w:line="225"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U.S.</w:t>
      </w:r>
    </w:p>
    <w:p>
      <w:pPr>
        <w:spacing w:after="0" w:line="225"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and Class of Securities: </w:t>
      </w:r>
      <w:r>
        <w:rPr>
          <w:rFonts w:ascii="Times New Roman" w:cs="Times New Roman" w:eastAsia="Times New Roman" w:hAnsi="Times New Roman"/>
          <w:sz w:val="18"/>
          <w:szCs w:val="18"/>
          <w:color w:val="auto"/>
        </w:rPr>
        <w:t>Common stock, par value $0.001 per share</w:t>
      </w:r>
    </w:p>
    <w:p>
      <w:pPr>
        <w:spacing w:after="0" w:line="225"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68401U105</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 Not applicable</w:t>
      </w:r>
    </w:p>
    <w:p>
      <w:pPr>
        <w:spacing w:after="0" w:line="256" w:lineRule="exact"/>
        <w:rPr>
          <w:sz w:val="20"/>
          <w:szCs w:val="20"/>
          <w:color w:val="auto"/>
        </w:rPr>
      </w:pPr>
    </w:p>
    <w:p>
      <w:pPr>
        <w:ind w:left="1140" w:hanging="57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1140" w:hanging="57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w:t>
      </w:r>
    </w:p>
    <w:p>
      <w:pPr>
        <w:spacing w:after="0" w:line="225" w:lineRule="exact"/>
        <w:rPr>
          <w:rFonts w:ascii="Times New Roman" w:cs="Times New Roman" w:eastAsia="Times New Roman" w:hAnsi="Times New Roman"/>
          <w:sz w:val="18"/>
          <w:szCs w:val="18"/>
          <w:color w:val="auto"/>
        </w:rPr>
      </w:pPr>
    </w:p>
    <w:p>
      <w:pPr>
        <w:ind w:left="1140" w:hanging="57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1140" w:hanging="57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140" w:hanging="57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investment adviser in accordance with Rule 13d-1(b)(1)(ii)(E);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00" w:hanging="1125"/>
        <w:spacing w:after="0" w:line="282" w:lineRule="auto"/>
        <w:tabs>
          <w:tab w:leader="none" w:pos="11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Rule 240.13d-1(b)(1)(ii)(J);</w:t>
      </w:r>
    </w:p>
    <w:p>
      <w:pPr>
        <w:spacing w:after="0" w:line="225" w:lineRule="exact"/>
        <w:rPr>
          <w:rFonts w:ascii="Times New Roman" w:cs="Times New Roman" w:eastAsia="Times New Roman" w:hAnsi="Times New Roman"/>
          <w:sz w:val="18"/>
          <w:szCs w:val="18"/>
          <w:color w:val="auto"/>
        </w:rPr>
      </w:pPr>
    </w:p>
    <w:p>
      <w:pPr>
        <w:ind w:left="1700" w:right="160" w:hanging="1125"/>
        <w:spacing w:after="0" w:line="282" w:lineRule="auto"/>
        <w:tabs>
          <w:tab w:leader="none" w:pos="11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Rule 240.13d-1(b)(1)(ii)(K). If filing as a non-U.S. institution in accordance with Rule 240.13d-1(b)(1) (ii)(J), please specify the type of institution: 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 762,660 (1)</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4.6% (2)</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52"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 762,660 (1)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 762,660 (1)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 762,660 (1)</w:t>
      </w:r>
    </w:p>
    <w:p>
      <w:pPr>
        <w:spacing w:after="0" w:line="188" w:lineRule="exact"/>
        <w:rPr>
          <w:rFonts w:ascii="Times New Roman" w:cs="Times New Roman" w:eastAsia="Times New Roman" w:hAnsi="Times New Roman"/>
          <w:sz w:val="18"/>
          <w:szCs w:val="18"/>
          <w:b w:val="1"/>
          <w:bCs w:val="1"/>
          <w:color w:val="auto"/>
        </w:rPr>
      </w:pPr>
    </w:p>
    <w:p>
      <w:pPr>
        <w:jc w:val="both"/>
        <w:ind w:left="1140" w:firstLine="2"/>
        <w:spacing w:after="0" w:line="254" w:lineRule="auto"/>
        <w:tabs>
          <w:tab w:leader="none" w:pos="140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total which includes 762,660 common shares held directly by Harvey L. Poppel on behalf of Harvey L. Poppel, Lee, A. Poppel, Harvey L. Poppel IRA, Lee Poppel IRA, Dr. Clinton S. Poppel, Dr. Clinton S. Poppel 401K &amp; IRAs, Helen M Poppel, Helen M. Poppel IRAs,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61"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16.600,000 voting shares of the Issuers common stock outstanding as of February 12,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 Not Applicable</w:t>
            </w:r>
          </w:p>
        </w:tc>
      </w:tr>
      <w:tr>
        <w:trPr>
          <w:trHeight w:val="414"/>
        </w:trPr>
        <w:tc>
          <w:tcPr>
            <w:tcW w:w="880" w:type="dxa"/>
            <w:vAlign w:val="bottom"/>
          </w:tcPr>
          <w:p>
            <w:pPr>
              <w:spacing w:after="0"/>
              <w:rPr>
                <w:sz w:val="24"/>
                <w:szCs w:val="24"/>
                <w:color w:val="auto"/>
              </w:rPr>
            </w:pP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w:t>
            </w:r>
          </w:p>
        </w:tc>
      </w:tr>
      <w:tr>
        <w:trPr>
          <w:trHeight w:val="234"/>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than five percent of the class of securities, check the following [ ].</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 Not Applicable</w:t>
            </w:r>
          </w:p>
        </w:tc>
      </w:tr>
      <w:tr>
        <w:trPr>
          <w:trHeight w:val="4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w:t>
            </w:r>
          </w:p>
        </w:tc>
      </w:tr>
      <w:tr>
        <w:trPr>
          <w:trHeight w:val="238"/>
        </w:trPr>
        <w:tc>
          <w:tcPr>
            <w:tcW w:w="880" w:type="dxa"/>
            <w:vAlign w:val="bottom"/>
          </w:tcPr>
          <w:p>
            <w:pPr>
              <w:spacing w:after="0"/>
              <w:rPr>
                <w:sz w:val="20"/>
                <w:szCs w:val="20"/>
                <w:color w:val="auto"/>
              </w:rPr>
            </w:pP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control person. Not Applicable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 Not Applicable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 Not Applicable</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71"/>
        </w:trPr>
        <w:tc>
          <w:tcPr>
            <w:tcW w:w="880" w:type="dxa"/>
            <w:vAlign w:val="bottom"/>
          </w:tcPr>
          <w:p>
            <w:pPr>
              <w:spacing w:after="0"/>
              <w:rPr>
                <w:sz w:val="24"/>
                <w:szCs w:val="24"/>
                <w:color w:val="auto"/>
              </w:rPr>
            </w:pPr>
          </w:p>
        </w:tc>
        <w:tc>
          <w:tcPr>
            <w:tcW w:w="10400" w:type="dxa"/>
            <w:vAlign w:val="bottom"/>
          </w:tcPr>
          <w:p>
            <w:pPr>
              <w:ind w:left="4260"/>
              <w:spacing w:after="0"/>
              <w:rPr>
                <w:sz w:val="20"/>
                <w:szCs w:val="20"/>
                <w:color w:val="auto"/>
              </w:rPr>
            </w:pPr>
            <w:r>
              <w:rPr>
                <w:rFonts w:ascii="Times New Roman" w:cs="Times New Roman" w:eastAsia="Times New Roman" w:hAnsi="Times New Roman"/>
                <w:sz w:val="22"/>
                <w:szCs w:val="22"/>
                <w:color w:val="auto"/>
              </w:rPr>
              <w:t>Page 5 of 6</w:t>
            </w:r>
          </w:p>
        </w:tc>
      </w:tr>
      <w:tr>
        <w:trPr>
          <w:trHeight w:val="552"/>
        </w:trPr>
        <w:tc>
          <w:tcPr>
            <w:tcW w:w="88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74"/>
        </w:trPr>
        <w:tc>
          <w:tcPr>
            <w:tcW w:w="880" w:type="dxa"/>
            <w:vAlign w:val="bottom"/>
            <w:shd w:val="clear" w:color="auto" w:fill="000000"/>
          </w:tcPr>
          <w:p>
            <w:pPr>
              <w:spacing w:after="0"/>
              <w:rPr>
                <w:sz w:val="6"/>
                <w:szCs w:val="6"/>
                <w:color w:val="auto"/>
              </w:rPr>
            </w:pPr>
          </w:p>
        </w:tc>
        <w:tc>
          <w:tcPr>
            <w:tcW w:w="104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6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17,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Harvey L. Poppel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Name/Title: Harvey L. Poppel</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pacing w:after="0" w:line="2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lvl w:ilvl="1">
      <w:lvlJc w:val="left"/>
      <w:lvlText w:val="(%2)"/>
      <w:numFmt w:val="lowerLetter"/>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6"/>
    </w:lvl>
  </w:abstractNum>
  <w:abstractNum w:abstractNumId="12">
    <w:nsid w:val="3352255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2021-03-17T10:19:27Z</dcterms:created>
  <dcterms:modified xsi:type="dcterms:W3CDTF">2021-03-17T10:19:27Z</dcterms:modified>
</cp:coreProperties>
</file>