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BAKER DOUGLAS P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153035</wp:posOffset>
            </wp:positionV>
            <wp:extent cx="6967220" cy="13112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31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07/16/2020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6,667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82,671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07/17/2020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2.46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90,671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2.46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07/17/2020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03/31/2017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03/31/2022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2.46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155,559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-1999615</wp:posOffset>
            </wp:positionV>
            <wp:extent cx="7033260" cy="20116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01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sold pursuant to a plan of disposition adopted on June 16, 2020 in accordance with Rule 10b5-1 of the Securities Exchange Act of 1934, as amended.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Doug Baker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07/17/2020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028775" TargetMode="External"/><Relationship Id="rId14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2020-07-17T15:46:36Z</dcterms:created>
  <dcterms:modified xsi:type="dcterms:W3CDTF">2020-07-17T15:46:36Z</dcterms:modified>
</cp:coreProperties>
</file>