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56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5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 (pursuant to 10B5-1 plan)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13,435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69,361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13,435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82,796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80" w:type="dxa"/>
            <w:vAlign w:val="bottom"/>
            <w:gridSpan w:val="10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2.46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07/08/2021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13,435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12/31/2017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13,435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64,699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March 24, 2021 in accordance with Rule 10b5-1 of the Securities Exchange Act of 1934, as amended.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 Baker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07/09/2021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2021-07-09T15:47:27Z</dcterms:created>
  <dcterms:modified xsi:type="dcterms:W3CDTF">2021-07-09T15:47:27Z</dcterms:modified>
</cp:coreProperties>
</file>