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Issuer)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September 10 ,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Event Which Requires Filing of this Statement)</w:t>
      </w:r>
    </w:p>
    <w:p>
      <w:pPr>
        <w:spacing w:after="0" w:line="322"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640" w:hanging="97"/>
        <w:spacing w:after="0"/>
        <w:tabs>
          <w:tab w:leader="none" w:pos="1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Rule 13d-1(b)</w:t>
      </w:r>
    </w:p>
    <w:p>
      <w:pPr>
        <w:spacing w:after="0" w:line="225" w:lineRule="exact"/>
        <w:rPr>
          <w:rFonts w:ascii="Arial" w:cs="Arial" w:eastAsia="Arial" w:hAnsi="Arial"/>
          <w:sz w:val="18"/>
          <w:szCs w:val="18"/>
          <w:color w:val="auto"/>
        </w:rPr>
      </w:pPr>
    </w:p>
    <w:p>
      <w:pPr>
        <w:ind w:left="1740" w:hanging="197"/>
        <w:spacing w:after="0"/>
        <w:tabs>
          <w:tab w:leader="none" w:pos="1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225" w:lineRule="exact"/>
        <w:rPr>
          <w:rFonts w:ascii="Arial" w:cs="Arial" w:eastAsia="Arial" w:hAnsi="Arial"/>
          <w:sz w:val="18"/>
          <w:szCs w:val="18"/>
          <w:color w:val="auto"/>
        </w:rPr>
      </w:pPr>
    </w:p>
    <w:p>
      <w:pPr>
        <w:ind w:left="1740" w:hanging="197"/>
        <w:spacing w:after="0"/>
        <w:tabs>
          <w:tab w:leader="none" w:pos="1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both"/>
        <w:ind w:left="1140" w:right="1600"/>
        <w:spacing w:after="0" w:line="264"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7" w:lineRule="exact"/>
        <w:rPr>
          <w:sz w:val="24"/>
          <w:szCs w:val="24"/>
          <w:color w:val="auto"/>
        </w:rPr>
      </w:pPr>
    </w:p>
    <w:p>
      <w:pPr>
        <w:jc w:val="both"/>
        <w:ind w:left="1140" w:right="11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50430" cy="3228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228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68401U105</w:t>
      </w:r>
    </w:p>
    <w:p>
      <w:pPr>
        <w:spacing w:after="0" w:line="33" w:lineRule="exact"/>
        <w:rPr>
          <w:sz w:val="24"/>
          <w:szCs w:val="24"/>
          <w:color w:val="auto"/>
        </w:rPr>
      </w:pPr>
    </w:p>
    <w:p>
      <w:pPr>
        <w:ind w:left="220"/>
        <w:spacing w:after="0"/>
        <w:tabs>
          <w:tab w:leader="none" w:pos="5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 I.R.S. Identification Nos. of Above Persons (Entities Only)</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Goldman Capital Management</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13-3279572</w:t>
      </w:r>
    </w:p>
    <w:p>
      <w:pPr>
        <w:spacing w:after="0" w:line="28" w:lineRule="exact"/>
        <w:rPr>
          <w:sz w:val="24"/>
          <w:szCs w:val="24"/>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90"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New York, United States</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Borders>
              <w:top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80"/>
              </w:rPr>
              <w:t>Shares</w:t>
            </w:r>
          </w:p>
        </w:tc>
        <w:tc>
          <w:tcPr>
            <w:tcW w:w="380" w:type="dxa"/>
            <w:vAlign w:val="bottom"/>
            <w:tcBorders>
              <w:right w:val="single" w:sz="8" w:color="auto"/>
            </w:tcBorders>
          </w:tcPr>
          <w:p>
            <w:pPr>
              <w:spacing w:after="0"/>
              <w:rPr>
                <w:sz w:val="18"/>
                <w:szCs w:val="18"/>
                <w:color w:val="auto"/>
              </w:rPr>
            </w:pPr>
          </w:p>
        </w:tc>
        <w:tc>
          <w:tcPr>
            <w:tcW w:w="990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94"/>
              </w:rPr>
              <w:t>Beneficially</w:t>
            </w:r>
          </w:p>
        </w:tc>
        <w:tc>
          <w:tcPr>
            <w:tcW w:w="380" w:type="dxa"/>
            <w:vAlign w:val="bottom"/>
            <w:tcBorders>
              <w:bottom w:val="single" w:sz="8" w:color="auto"/>
              <w:right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Borders>
              <w:right w:val="single" w:sz="8" w:color="auto"/>
            </w:tcBorders>
          </w:tcPr>
          <w:p>
            <w:pPr>
              <w:jc w:val="center"/>
              <w:ind w:left="32"/>
              <w:spacing w:after="0" w:line="190" w:lineRule="exact"/>
              <w:rPr>
                <w:sz w:val="20"/>
                <w:szCs w:val="20"/>
                <w:color w:val="auto"/>
              </w:rPr>
            </w:pPr>
            <w:r>
              <w:rPr>
                <w:rFonts w:ascii="Arial" w:cs="Arial" w:eastAsia="Arial" w:hAnsi="Arial"/>
                <w:sz w:val="18"/>
                <w:szCs w:val="18"/>
                <w:color w:val="auto"/>
                <w:w w:val="91"/>
              </w:rPr>
              <w:t>Owned by</w:t>
            </w: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(6)</w:t>
            </w:r>
          </w:p>
        </w:tc>
        <w:tc>
          <w:tcPr>
            <w:tcW w:w="9900" w:type="dxa"/>
            <w:vAlign w:val="bottom"/>
          </w:tcPr>
          <w:p>
            <w:pPr>
              <w:ind w:left="80"/>
              <w:spacing w:after="0" w:line="190"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82"/>
              </w:rPr>
              <w:t>Each</w:t>
            </w:r>
          </w:p>
        </w:tc>
        <w:tc>
          <w:tcPr>
            <w:tcW w:w="380" w:type="dxa"/>
            <w:vAlign w:val="bottom"/>
            <w:tcBorders>
              <w:right w:val="single" w:sz="8" w:color="auto"/>
            </w:tcBorders>
          </w:tcPr>
          <w:p>
            <w:pPr>
              <w:spacing w:after="0"/>
              <w:rPr>
                <w:sz w:val="18"/>
                <w:szCs w:val="18"/>
                <w:color w:val="auto"/>
              </w:rPr>
            </w:pPr>
          </w:p>
        </w:tc>
        <w:tc>
          <w:tcPr>
            <w:tcW w:w="9900" w:type="dxa"/>
            <w:vAlign w:val="bottom"/>
            <w:vMerge w:val="restart"/>
          </w:tcPr>
          <w:p>
            <w:pPr>
              <w:ind w:left="260"/>
              <w:spacing w:after="0"/>
              <w:rPr>
                <w:sz w:val="20"/>
                <w:szCs w:val="20"/>
                <w:color w:val="auto"/>
              </w:rPr>
            </w:pPr>
            <w:r>
              <w:rPr>
                <w:rFonts w:ascii="Arial" w:cs="Arial" w:eastAsia="Arial" w:hAnsi="Arial"/>
                <w:sz w:val="18"/>
                <w:szCs w:val="18"/>
                <w:color w:val="auto"/>
              </w:rPr>
              <w:t>1,532,394</w:t>
            </w:r>
          </w:p>
        </w:tc>
        <w:tc>
          <w:tcPr>
            <w:tcW w:w="0" w:type="dxa"/>
            <w:vAlign w:val="bottom"/>
          </w:tcPr>
          <w:p>
            <w:pPr>
              <w:spacing w:after="0"/>
              <w:rPr>
                <w:sz w:val="1"/>
                <w:szCs w:val="1"/>
                <w:color w:val="auto"/>
              </w:rPr>
            </w:pPr>
          </w:p>
        </w:tc>
      </w:tr>
      <w:tr>
        <w:trPr>
          <w:trHeight w:val="231"/>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89"/>
              </w:rPr>
              <w:t>Reporting</w:t>
            </w:r>
          </w:p>
        </w:tc>
        <w:tc>
          <w:tcPr>
            <w:tcW w:w="380" w:type="dxa"/>
            <w:vAlign w:val="bottom"/>
            <w:tcBorders>
              <w:bottom w:val="single" w:sz="8" w:color="auto"/>
              <w:right w:val="single" w:sz="8" w:color="auto"/>
            </w:tcBorders>
          </w:tcPr>
          <w:p>
            <w:pPr>
              <w:spacing w:after="0"/>
              <w:rPr>
                <w:sz w:val="20"/>
                <w:szCs w:val="20"/>
                <w:color w:val="auto"/>
              </w:rPr>
            </w:pPr>
          </w:p>
        </w:tc>
        <w:tc>
          <w:tcPr>
            <w:tcW w:w="9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Borders>
              <w:right w:val="single" w:sz="8" w:color="auto"/>
            </w:tcBorders>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9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01" w:right="239" w:bottom="0" w:gutter="0" w:footer="0" w:header="0"/>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14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Person</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2"/>
          </w:tcPr>
          <w:p>
            <w:pPr>
              <w:ind w:left="460"/>
              <w:spacing w:after="0"/>
              <w:rPr>
                <w:sz w:val="20"/>
                <w:szCs w:val="20"/>
                <w:color w:val="auto"/>
              </w:rPr>
            </w:pPr>
            <w:r>
              <w:rPr>
                <w:rFonts w:ascii="Arial" w:cs="Arial" w:eastAsia="Arial" w:hAnsi="Arial"/>
                <w:sz w:val="18"/>
                <w:szCs w:val="18"/>
                <w:color w:val="auto"/>
              </w:rPr>
              <w:t>With</w:t>
            </w:r>
          </w:p>
        </w:tc>
        <w:tc>
          <w:tcPr>
            <w:tcW w:w="380" w:type="dxa"/>
            <w:vAlign w:val="bottom"/>
            <w:tcBorders>
              <w:right w:val="single" w:sz="8" w:color="auto"/>
            </w:tcBorders>
          </w:tcPr>
          <w:p>
            <w:pPr>
              <w:spacing w:after="0"/>
              <w:rPr>
                <w:sz w:val="19"/>
                <w:szCs w:val="19"/>
                <w:color w:val="auto"/>
              </w:rPr>
            </w:pPr>
          </w:p>
        </w:tc>
        <w:tc>
          <w:tcPr>
            <w:tcW w:w="9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4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99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1,532,394</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9"/>
              </w:rPr>
              <w:t>1,532,394</w:t>
            </w: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2"/>
              </w:rPr>
              <w:t>6.5%</w:t>
            </w:r>
          </w:p>
        </w:tc>
        <w:tc>
          <w:tcPr>
            <w:tcW w:w="38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IA</w:t>
            </w:r>
          </w:p>
        </w:tc>
        <w:tc>
          <w:tcPr>
            <w:tcW w:w="38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5385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385435"/>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68401U105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19"/>
                <w:szCs w:val="19"/>
                <w:color w:val="auto"/>
              </w:rPr>
            </w:pPr>
          </w:p>
        </w:tc>
        <w:tc>
          <w:tcPr>
            <w:tcW w:w="109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 I.R.S. Identification Nos. of Above Persons (Entities Only)</w:t>
            </w:r>
          </w:p>
        </w:tc>
        <w:tc>
          <w:tcPr>
            <w:tcW w:w="0" w:type="dxa"/>
            <w:vAlign w:val="bottom"/>
          </w:tcPr>
          <w:p>
            <w:pPr>
              <w:spacing w:after="0"/>
              <w:rPr>
                <w:sz w:val="1"/>
                <w:szCs w:val="1"/>
                <w:color w:val="auto"/>
              </w:rPr>
            </w:pPr>
          </w:p>
        </w:tc>
      </w:tr>
      <w:tr>
        <w:trPr>
          <w:trHeight w:val="406"/>
        </w:trPr>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940" w:type="dxa"/>
            <w:vAlign w:val="bottom"/>
            <w:gridSpan w:val="3"/>
          </w:tcPr>
          <w:p>
            <w:pPr>
              <w:ind w:left="280"/>
              <w:spacing w:after="0"/>
              <w:rPr>
                <w:sz w:val="20"/>
                <w:szCs w:val="20"/>
                <w:color w:val="auto"/>
              </w:rPr>
            </w:pPr>
            <w:r>
              <w:rPr>
                <w:rFonts w:ascii="Arial" w:cs="Arial" w:eastAsia="Arial" w:hAnsi="Arial"/>
                <w:sz w:val="18"/>
                <w:szCs w:val="18"/>
                <w:color w:val="auto"/>
              </w:rPr>
              <w:t>Neal I. Goldman</w:t>
            </w:r>
          </w:p>
        </w:tc>
        <w:tc>
          <w:tcPr>
            <w:tcW w:w="0" w:type="dxa"/>
            <w:vAlign w:val="bottom"/>
          </w:tcPr>
          <w:p>
            <w:pPr>
              <w:spacing w:after="0"/>
              <w:rPr>
                <w:sz w:val="1"/>
                <w:szCs w:val="1"/>
                <w:color w:val="auto"/>
              </w:rPr>
            </w:pPr>
          </w:p>
        </w:tc>
      </w:tr>
      <w:tr>
        <w:trPr>
          <w:trHeight w:val="230"/>
        </w:trPr>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8"/>
                <w:szCs w:val="18"/>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3"/>
                <w:szCs w:val="23"/>
                <w:color w:val="auto"/>
              </w:rPr>
            </w:pPr>
          </w:p>
        </w:tc>
        <w:tc>
          <w:tcPr>
            <w:tcW w:w="9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(b)</w:t>
            </w:r>
          </w:p>
        </w:tc>
        <w:tc>
          <w:tcPr>
            <w:tcW w:w="38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New York, United States</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1140" w:type="dxa"/>
            <w:vAlign w:val="bottom"/>
            <w:tcBorders>
              <w:right w:val="single" w:sz="8" w:color="auto"/>
            </w:tcBorders>
            <w:gridSpan w:val="3"/>
          </w:tcPr>
          <w:p>
            <w:pPr>
              <w:jc w:val="center"/>
              <w:ind w:left="32"/>
              <w:spacing w:after="0" w:line="201" w:lineRule="exact"/>
              <w:rPr>
                <w:sz w:val="20"/>
                <w:szCs w:val="20"/>
                <w:color w:val="auto"/>
              </w:rPr>
            </w:pPr>
            <w:r>
              <w:rPr>
                <w:rFonts w:ascii="Arial" w:cs="Arial" w:eastAsia="Arial" w:hAnsi="Arial"/>
                <w:sz w:val="18"/>
                <w:szCs w:val="18"/>
                <w:color w:val="auto"/>
                <w:w w:val="80"/>
              </w:rPr>
              <w:t>Shares</w:t>
            </w:r>
          </w:p>
        </w:tc>
        <w:tc>
          <w:tcPr>
            <w:tcW w:w="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9900" w:type="dxa"/>
            <w:vAlign w:val="bottom"/>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4"/>
              </w:rPr>
              <w:t>Beneficially</w:t>
            </w:r>
          </w:p>
        </w:tc>
        <w:tc>
          <w:tcPr>
            <w:tcW w:w="380" w:type="dxa"/>
            <w:vAlign w:val="bottom"/>
            <w:tcBorders>
              <w:right w:val="single" w:sz="8" w:color="auto"/>
            </w:tcBorders>
          </w:tcPr>
          <w:p>
            <w:pPr>
              <w:spacing w:after="0"/>
              <w:rPr>
                <w:sz w:val="18"/>
                <w:szCs w:val="18"/>
                <w:color w:val="auto"/>
              </w:rPr>
            </w:pPr>
          </w:p>
        </w:tc>
        <w:tc>
          <w:tcPr>
            <w:tcW w:w="9900" w:type="dxa"/>
            <w:vAlign w:val="bottom"/>
            <w:vMerge w:val="restart"/>
          </w:tcPr>
          <w:p>
            <w:pPr>
              <w:ind w:left="260"/>
              <w:spacing w:after="0"/>
              <w:rPr>
                <w:sz w:val="20"/>
                <w:szCs w:val="20"/>
                <w:color w:val="auto"/>
              </w:rPr>
            </w:pPr>
            <w:r>
              <w:rPr>
                <w:rFonts w:ascii="Arial" w:cs="Arial" w:eastAsia="Arial" w:hAnsi="Arial"/>
                <w:sz w:val="18"/>
                <w:szCs w:val="18"/>
                <w:color w:val="auto"/>
              </w:rPr>
              <w:t>1,532,394</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700" w:type="dxa"/>
            <w:vAlign w:val="bottom"/>
            <w:tcBorders>
              <w:right w:val="single" w:sz="8" w:color="auto"/>
            </w:tcBorders>
            <w:gridSpan w:val="2"/>
          </w:tcPr>
          <w:p>
            <w:pPr>
              <w:jc w:val="center"/>
              <w:ind w:right="231"/>
              <w:spacing w:after="0" w:line="190" w:lineRule="exact"/>
              <w:rPr>
                <w:sz w:val="20"/>
                <w:szCs w:val="20"/>
                <w:color w:val="auto"/>
              </w:rPr>
            </w:pPr>
            <w:r>
              <w:rPr>
                <w:rFonts w:ascii="Arial" w:cs="Arial" w:eastAsia="Arial" w:hAnsi="Arial"/>
                <w:sz w:val="18"/>
                <w:szCs w:val="18"/>
                <w:color w:val="auto"/>
                <w:w w:val="82"/>
              </w:rPr>
              <w:t>Each</w:t>
            </w: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99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380" w:type="dxa"/>
            <w:vAlign w:val="bottom"/>
            <w:tcBorders>
              <w:right w:val="single" w:sz="8" w:color="auto"/>
            </w:tcBorders>
          </w:tcPr>
          <w:p>
            <w:pPr>
              <w:spacing w:after="0"/>
              <w:rPr>
                <w:sz w:val="18"/>
                <w:szCs w:val="18"/>
                <w:color w:val="auto"/>
              </w:rPr>
            </w:pPr>
          </w:p>
        </w:tc>
        <w:tc>
          <w:tcPr>
            <w:tcW w:w="990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0"/>
              </w:rPr>
              <w:t>Person</w:t>
            </w:r>
          </w:p>
        </w:tc>
        <w:tc>
          <w:tcPr>
            <w:tcW w:w="380" w:type="dxa"/>
            <w:vAlign w:val="bottom"/>
            <w:tcBorders>
              <w:right w:val="single" w:sz="8" w:color="auto"/>
            </w:tcBorders>
          </w:tcPr>
          <w:p>
            <w:pPr>
              <w:spacing w:after="0"/>
              <w:rPr>
                <w:sz w:val="18"/>
                <w:szCs w:val="18"/>
                <w:color w:val="auto"/>
              </w:rPr>
            </w:pPr>
          </w:p>
        </w:tc>
        <w:tc>
          <w:tcPr>
            <w:tcW w:w="9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700" w:type="dxa"/>
            <w:vAlign w:val="bottom"/>
            <w:tcBorders>
              <w:right w:val="single" w:sz="8" w:color="auto"/>
            </w:tcBorders>
            <w:gridSpan w:val="2"/>
            <w:vMerge w:val="restart"/>
          </w:tcPr>
          <w:p>
            <w:pPr>
              <w:jc w:val="center"/>
              <w:ind w:right="231"/>
              <w:spacing w:after="0"/>
              <w:rPr>
                <w:sz w:val="20"/>
                <w:szCs w:val="20"/>
                <w:color w:val="auto"/>
              </w:rPr>
            </w:pPr>
            <w:r>
              <w:rPr>
                <w:rFonts w:ascii="Arial" w:cs="Arial" w:eastAsia="Arial" w:hAnsi="Arial"/>
                <w:sz w:val="18"/>
                <w:szCs w:val="18"/>
                <w:color w:val="auto"/>
                <w:w w:val="94"/>
              </w:rPr>
              <w:t>With</w:t>
            </w: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9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1,532,394</w:t>
            </w:r>
          </w:p>
        </w:tc>
        <w:tc>
          <w:tcPr>
            <w:tcW w:w="0" w:type="dxa"/>
            <w:vAlign w:val="bottom"/>
          </w:tcPr>
          <w:p>
            <w:pPr>
              <w:spacing w:after="0"/>
              <w:rPr>
                <w:sz w:val="1"/>
                <w:szCs w:val="1"/>
                <w:color w:val="auto"/>
              </w:rPr>
            </w:pPr>
          </w:p>
        </w:tc>
      </w:tr>
      <w:tr>
        <w:trPr>
          <w:trHeight w:val="222"/>
        </w:trPr>
        <w:tc>
          <w:tcPr>
            <w:tcW w:w="4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9"/>
              </w:rPr>
              <w:t>1,532,394</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right w:val="single" w:sz="8" w:color="auto"/>
            </w:tcBorders>
          </w:tcPr>
          <w:p>
            <w:pPr>
              <w:spacing w:after="0"/>
              <w:rPr>
                <w:sz w:val="19"/>
                <w:szCs w:val="19"/>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2"/>
              </w:rPr>
              <w:t>6.5%</w:t>
            </w:r>
          </w:p>
        </w:tc>
        <w:tc>
          <w:tcPr>
            <w:tcW w:w="3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w:t>
            </w:r>
          </w:p>
        </w:tc>
        <w:tc>
          <w:tcPr>
            <w:tcW w:w="3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39" w:lineRule="exact"/>
        <w:rPr>
          <w:sz w:val="20"/>
          <w:szCs w:val="20"/>
          <w:color w:val="auto"/>
        </w:rPr>
      </w:pPr>
    </w:p>
    <w:p>
      <w:pPr>
        <w:ind w:left="280" w:right="9340" w:hanging="2"/>
        <w:spacing w:after="0" w:line="405" w:lineRule="auto"/>
        <w:tabs>
          <w:tab w:leader="none" w:pos="53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OptimizeRx Corporation</w:t>
      </w: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400 Water Street, Suite 200</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Rochester, Michigan, 48307</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Name of Person Filing</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Goldman Capital Management, Inc.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Neal I. Goldman</w:t>
      </w:r>
    </w:p>
    <w:p>
      <w:pPr>
        <w:sectPr>
          <w:pgSz w:w="11900" w:h="16838" w:orient="portrait"/>
          <w:cols w:equalWidth="0" w:num="1">
            <w:col w:w="11420"/>
          </w:cols>
          <w:pgMar w:left="240" w:top="140" w:right="239" w:bottom="0" w:gutter="0" w:footer="0" w:header="0"/>
        </w:sectPr>
      </w:pPr>
    </w:p>
    <w:bookmarkStart w:id="2" w:name="page3"/>
    <w:bookmarkEnd w:id="2"/>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767 Third Avenue, 25th Floor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NY 10017</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 Citizenship</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United States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Title of Class of Securities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par value $0.001 per share</w:t>
      </w:r>
    </w:p>
    <w:p>
      <w:pPr>
        <w:spacing w:after="0" w:line="100" w:lineRule="exact"/>
        <w:rPr>
          <w:sz w:val="20"/>
          <w:szCs w:val="20"/>
          <w:color w:val="auto"/>
        </w:rPr>
      </w:pPr>
    </w:p>
    <w:p>
      <w:pPr>
        <w:ind w:left="280" w:right="9560" w:hanging="2"/>
        <w:spacing w:after="0" w:line="429" w:lineRule="auto"/>
        <w:tabs>
          <w:tab w:leader="none" w:pos="52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68401U105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8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8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720" w:type="dxa"/>
            <w:vAlign w:val="bottom"/>
          </w:tcPr>
          <w:p>
            <w:pPr>
              <w:ind w:left="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720" w:type="dxa"/>
            <w:vAlign w:val="bottom"/>
          </w:tcPr>
          <w:p>
            <w:pPr>
              <w:ind w:left="4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bl>
    <w:p>
      <w:pPr>
        <w:ind w:left="620" w:hanging="342"/>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 ] An investment adviser in accordance with §240.13d-1(b)(1)(ii)(E);</w:t>
      </w: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(f)</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(h)</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9280" w:type="dxa"/>
            <w:vAlign w:val="bottom"/>
          </w:tcPr>
          <w:p>
            <w:pPr>
              <w:ind w:left="4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20"/>
        </w:trPr>
        <w:tc>
          <w:tcPr>
            <w:tcW w:w="280" w:type="dxa"/>
            <w:vAlign w:val="bottom"/>
          </w:tcPr>
          <w:p>
            <w:pPr>
              <w:spacing w:after="0"/>
              <w:rPr>
                <w:sz w:val="20"/>
                <w:szCs w:val="20"/>
                <w:color w:val="auto"/>
              </w:rPr>
            </w:pPr>
            <w:r>
              <w:rPr>
                <w:rFonts w:ascii="Arial" w:cs="Arial" w:eastAsia="Arial" w:hAnsi="Arial"/>
                <w:sz w:val="18"/>
                <w:szCs w:val="18"/>
                <w:b w:val="1"/>
                <w:bCs w:val="1"/>
                <w:color w:val="auto"/>
              </w:rPr>
              <w:t>(i)</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9280" w:type="dxa"/>
            <w:vAlign w:val="bottom"/>
          </w:tcPr>
          <w:p>
            <w:pPr>
              <w:ind w:left="4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w:t>
            </w: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80" w:type="dxa"/>
            <w:vAlign w:val="bottom"/>
          </w:tcPr>
          <w:p>
            <w:pPr>
              <w:ind w:left="40"/>
              <w:spacing w:after="0"/>
              <w:rPr>
                <w:sz w:val="20"/>
                <w:szCs w:val="20"/>
                <w:color w:val="auto"/>
              </w:rPr>
            </w:pPr>
            <w:r>
              <w:rPr>
                <w:rFonts w:ascii="Arial" w:cs="Arial" w:eastAsia="Arial" w:hAnsi="Arial"/>
                <w:sz w:val="18"/>
                <w:szCs w:val="18"/>
                <w:color w:val="auto"/>
              </w:rPr>
              <w:t>Act of 1940 (15 U.S.C. 80a-3);</w:t>
            </w:r>
          </w:p>
        </w:tc>
      </w:tr>
    </w:tbl>
    <w:p>
      <w:pPr>
        <w:ind w:left="620" w:hanging="342"/>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 Group, in accordance with §240.13d-1(b)(1)(ii)(J).</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Amount beneficially owned:</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Goldman Capital Management, Inc. ("Goldman Capital") beneficially owns 1,532,394 shares of the Issuer's common stock.</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Neal I. Goldman is the president of Goldman Capital and has voting and dispositive power over the securities described above.</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Percent of class:</w:t>
      </w:r>
    </w:p>
    <w:p>
      <w:pPr>
        <w:spacing w:after="0" w:line="108" w:lineRule="exact"/>
        <w:rPr>
          <w:sz w:val="20"/>
          <w:szCs w:val="20"/>
          <w:color w:val="auto"/>
        </w:rPr>
      </w:pPr>
    </w:p>
    <w:p>
      <w:pPr>
        <w:ind w:left="280" w:right="60"/>
        <w:spacing w:after="0" w:line="259" w:lineRule="auto"/>
        <w:rPr>
          <w:sz w:val="20"/>
          <w:szCs w:val="20"/>
          <w:color w:val="auto"/>
        </w:rPr>
      </w:pPr>
      <w:r>
        <w:rPr>
          <w:rFonts w:ascii="Arial" w:cs="Arial" w:eastAsia="Arial" w:hAnsi="Arial"/>
          <w:sz w:val="18"/>
          <w:szCs w:val="18"/>
          <w:color w:val="auto"/>
        </w:rPr>
        <w:t>Goldman Capital owns, and Mr. Goldman may be deemed to own, 6.5% of the Issuer's outstanding shares of common stock. This percentage was calculated by dividing 1,532,394 (the number of shares of common stock held by Goldman Capital) by 23,362,377 (the number of shares of common stock outstanding as reported in the Issuer's most recent Quarterly Report on Form 10-Q, filed with the Securities and Exchange Commission on August 14, 2014).</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98" w:lineRule="exact"/>
        <w:rPr>
          <w:sz w:val="20"/>
          <w:szCs w:val="20"/>
          <w:color w:val="auto"/>
        </w:rPr>
      </w:pPr>
    </w:p>
    <w:p>
      <w:pPr>
        <w:ind w:left="760" w:hanging="212"/>
        <w:spacing w:after="0"/>
        <w:tabs>
          <w:tab w:leader="none" w:pos="7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0</w:t>
      </w:r>
    </w:p>
    <w:p>
      <w:pPr>
        <w:spacing w:after="0" w:line="99" w:lineRule="exact"/>
        <w:rPr>
          <w:rFonts w:ascii="Arial" w:cs="Arial" w:eastAsia="Arial" w:hAnsi="Arial"/>
          <w:sz w:val="18"/>
          <w:szCs w:val="18"/>
          <w:b w:val="1"/>
          <w:bCs w:val="1"/>
          <w:color w:val="auto"/>
        </w:rPr>
      </w:pPr>
    </w:p>
    <w:p>
      <w:pPr>
        <w:ind w:left="540" w:right="7300" w:firstLine="8"/>
        <w:spacing w:after="0" w:line="360" w:lineRule="auto"/>
        <w:tabs>
          <w:tab w:leader="none" w:pos="80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1,532,394</w:t>
      </w:r>
    </w:p>
    <w:p>
      <w:pPr>
        <w:ind w:left="860" w:hanging="312"/>
        <w:spacing w:after="0"/>
        <w:tabs>
          <w:tab w:leader="none" w:pos="8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0</w:t>
      </w:r>
    </w:p>
    <w:p>
      <w:pPr>
        <w:spacing w:after="0" w:line="99" w:lineRule="exact"/>
        <w:rPr>
          <w:rFonts w:ascii="Arial" w:cs="Arial" w:eastAsia="Arial" w:hAnsi="Arial"/>
          <w:sz w:val="18"/>
          <w:szCs w:val="18"/>
          <w:b w:val="1"/>
          <w:bCs w:val="1"/>
          <w:color w:val="auto"/>
        </w:rPr>
      </w:pPr>
    </w:p>
    <w:p>
      <w:pPr>
        <w:ind w:left="540" w:right="6320" w:firstLine="8"/>
        <w:spacing w:after="0" w:line="391" w:lineRule="auto"/>
        <w:tabs>
          <w:tab w:leader="none" w:pos="84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1,532,394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w:t>
      </w:r>
    </w:p>
    <w:p>
      <w:pPr>
        <w:sectPr>
          <w:pgSz w:w="11900" w:h="16906" w:orient="portrait"/>
          <w:cols w:equalWidth="0" w:num="1">
            <w:col w:w="11300"/>
          </w:cols>
          <w:pgMar w:left="240" w:top="216" w:right="35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i w:val="1"/>
          <w:iCs w:val="1"/>
          <w:color w:val="auto"/>
        </w:rPr>
        <w:t>October 24, 2014</w:t>
      </w:r>
      <w:r>
        <w:rPr>
          <w:sz w:val="20"/>
          <w:szCs w:val="20"/>
          <w:color w:val="auto"/>
        </w:rPr>
        <w:tab/>
      </w:r>
      <w:r>
        <w:rPr>
          <w:rFonts w:ascii="Arial" w:cs="Arial" w:eastAsia="Arial" w:hAnsi="Arial"/>
          <w:sz w:val="16"/>
          <w:szCs w:val="16"/>
          <w:color w:val="auto"/>
        </w:rPr>
        <w:t>Goldman Capital Management, Inc.</w:t>
      </w:r>
    </w:p>
    <w:p>
      <w:pPr>
        <w:spacing w:after="0" w:line="77" w:lineRule="exact"/>
        <w:rPr>
          <w:sz w:val="20"/>
          <w:szCs w:val="20"/>
          <w:color w:val="auto"/>
        </w:rPr>
      </w:pPr>
    </w:p>
    <w:p>
      <w:pPr>
        <w:ind w:left="63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Neal I.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1905</wp:posOffset>
            </wp:positionV>
            <wp:extent cx="234061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Neal I. Goldman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060"/>
      </w:cols>
      <w:pgMar w:left="24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10"/>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2019-12-07T20:10:04Z</dcterms:created>
  <dcterms:modified xsi:type="dcterms:W3CDTF">2019-12-07T20:10:04Z</dcterms:modified>
</cp:coreProperties>
</file>