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7389</w:t>
            </w: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Cane Clark Agency, LLC</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400 Water Street, Suite 200</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3273 E. Warm Springs Rd.</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Rochester, MI 48307</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Las Vegas, NV 89120</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 651-6568</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(702) 312-6255</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0"/>
              </w:rPr>
              <w:t>(Address, including zip code, and telephone</w:t>
            </w:r>
          </w:p>
        </w:tc>
        <w:tc>
          <w:tcPr>
            <w:tcW w:w="2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89"/>
              </w:rPr>
              <w:t>(Name, address, including zip code, and telephone</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number, including area code, of principal</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number, including area code, of agent for service)</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24"/>
                <w:szCs w:val="24"/>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520"/>
              <w:spacing w:after="0"/>
              <w:rPr>
                <w:sz w:val="20"/>
                <w:szCs w:val="20"/>
                <w:color w:val="auto"/>
              </w:rPr>
            </w:pPr>
            <w:r>
              <w:rPr>
                <w:rFonts w:ascii="Arial" w:cs="Arial" w:eastAsia="Arial" w:hAnsi="Arial"/>
                <w:sz w:val="18"/>
                <w:szCs w:val="18"/>
                <w:color w:val="auto"/>
              </w:rPr>
              <w:t>(Do not check if a smaller reporting company)</w:t>
            </w:r>
          </w:p>
        </w:tc>
        <w:tc>
          <w:tcPr>
            <w:tcW w:w="286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635"/>
        </w:trPr>
        <w:tc>
          <w:tcPr>
            <w:tcW w:w="2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520" w:type="dxa"/>
            <w:vAlign w:val="bottom"/>
            <w:gridSpan w:val="5"/>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86"/>
              </w:rPr>
              <w:t>Title of each class of</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Amount to be</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Offering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Amount of</w:t>
            </w:r>
          </w:p>
        </w:tc>
      </w:tr>
      <w:tr>
        <w:trPr>
          <w:trHeight w:val="241"/>
        </w:trPr>
        <w:tc>
          <w:tcPr>
            <w:tcW w:w="20" w:type="dxa"/>
            <w:vAlign w:val="bottom"/>
          </w:tcPr>
          <w:p>
            <w:pPr>
              <w:spacing w:after="0"/>
              <w:rPr>
                <w:sz w:val="20"/>
                <w:szCs w:val="20"/>
                <w:color w:val="auto"/>
              </w:rPr>
            </w:pPr>
          </w:p>
        </w:tc>
        <w:tc>
          <w:tcPr>
            <w:tcW w:w="390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securities to be registered</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w w:val="88"/>
              </w:rPr>
              <w:t>Registered(1) (2)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 Share(3)</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87"/>
              </w:rPr>
              <w:t>Registration Fee</w:t>
            </w:r>
          </w:p>
        </w:tc>
      </w:tr>
      <w:tr>
        <w:trPr>
          <w:trHeight w:val="230"/>
        </w:trPr>
        <w:tc>
          <w:tcPr>
            <w:tcW w:w="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954,139</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1,097,259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127.50</w:t>
            </w:r>
          </w:p>
        </w:tc>
      </w:tr>
    </w:tbl>
    <w:p>
      <w:pPr>
        <w:spacing w:after="0" w:line="187" w:lineRule="exact"/>
        <w:rPr>
          <w:sz w:val="20"/>
          <w:szCs w:val="20"/>
          <w:color w:val="auto"/>
        </w:rPr>
      </w:pPr>
    </w:p>
    <w:p>
      <w:pPr>
        <w:jc w:val="both"/>
        <w:ind w:left="4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being registered hereunder include such indeterminate number of shares of our Common Stock as may be issuable with respect to the shares being registered hereunder to prevent dilution by reason of any stock dividend, stock split, recapitalization or other similar transaction.</w:t>
      </w:r>
    </w:p>
    <w:p>
      <w:pPr>
        <w:spacing w:after="0" w:line="181" w:lineRule="exact"/>
        <w:rPr>
          <w:rFonts w:ascii="Arial" w:cs="Arial" w:eastAsia="Arial" w:hAnsi="Arial"/>
          <w:sz w:val="18"/>
          <w:szCs w:val="18"/>
          <w:color w:val="auto"/>
        </w:rPr>
      </w:pPr>
    </w:p>
    <w:p>
      <w:pPr>
        <w:ind w:left="46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804,139 shares of common stock issuable upon the exercise of warrants held by placement agents in our March 2014 Private Placement. Also includes 150,000 shares of common stock that were issued under an Advisor Agreement with Merriman Capital, Inc. dated February 23, 2015.</w:t>
      </w:r>
    </w:p>
    <w:p>
      <w:pPr>
        <w:spacing w:after="0" w:line="123"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upon the closing price per share of our Common Stock as reported on the OTCQB, on April 28, 2015.</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May 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954,139 Shares of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relates to the resale by the Selling Shareholders of up to 954,139 shares of our Common Stock, par value $0.001 per share (the “Common Stock”). Of the Common Stock offered herein, 804,139 shares are issuable upon the exercise of warrants held by placement agents that were issued in connection with our March 2014 Private Placement (described below) and 150,000 shares that were issued to Merriman Capital, Inc. under an Advisory Agreement dated February 23, 2015.</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April 28, 2015, the last reported sale price of our Common Stock was $1.15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May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154940</wp:posOffset>
            </wp:positionV>
            <wp:extent cx="2598420" cy="840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7280" w:type="dxa"/>
            <w:vAlign w:val="bottom"/>
            <w:gridSpan w:val="12"/>
          </w:tcPr>
          <w:p>
            <w:pPr>
              <w:spacing w:after="0"/>
              <w:rPr>
                <w:sz w:val="17"/>
                <w:szCs w:val="17"/>
                <w:color w:val="auto"/>
              </w:rPr>
            </w:pPr>
          </w:p>
        </w:tc>
        <w:tc>
          <w:tcPr>
            <w:tcW w:w="1900" w:type="dxa"/>
            <w:vAlign w:val="bottom"/>
          </w:tcPr>
          <w:p>
            <w:pPr>
              <w:jc w:val="center"/>
              <w:ind w:left="570"/>
              <w:spacing w:after="0"/>
              <w:rPr>
                <w:sz w:val="20"/>
                <w:szCs w:val="20"/>
                <w:color w:val="auto"/>
              </w:rPr>
            </w:pPr>
            <w:r>
              <w:rPr>
                <w:rFonts w:ascii="Arial" w:cs="Arial" w:eastAsia="Arial" w:hAnsi="Arial"/>
                <w:sz w:val="18"/>
                <w:szCs w:val="18"/>
                <w:color w:val="auto"/>
                <w:w w:val="79"/>
              </w:rPr>
              <w:t>1</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FORWARD-LOOKING STATEMENTS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3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5920" w:type="dxa"/>
            <w:vAlign w:val="bottom"/>
            <w:gridSpan w:val="7"/>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8260" w:type="dxa"/>
            <w:vAlign w:val="bottom"/>
            <w:gridSpan w:val="18"/>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DETERMINATION OF OFFERING PRICE</w:t>
              </w:r>
            </w:hyperlink>
          </w:p>
        </w:tc>
        <w:tc>
          <w:tcPr>
            <w:tcW w:w="6280" w:type="dxa"/>
            <w:vAlign w:val="bottom"/>
            <w:gridSpan w:val="8"/>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SHAREHOLDERS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PLAN OF DISTRIBUTION</w:t>
              </w:r>
            </w:hyperlink>
          </w:p>
        </w:tc>
        <w:tc>
          <w:tcPr>
            <w:tcW w:w="160" w:type="dxa"/>
            <w:vAlign w:val="bottom"/>
            <w:tcBorders>
              <w:top w:val="single" w:sz="8" w:color="0000EE"/>
            </w:tcBorders>
            <w:gridSpan w:val="2"/>
          </w:tcPr>
          <w:p>
            <w:pPr>
              <w:spacing w:after="0"/>
              <w:rPr>
                <w:sz w:val="17"/>
                <w:szCs w:val="17"/>
                <w:color w:val="auto"/>
              </w:rPr>
            </w:pPr>
          </w:p>
        </w:tc>
        <w:tc>
          <w:tcPr>
            <w:tcW w:w="7300" w:type="dxa"/>
            <w:vAlign w:val="bottom"/>
            <w:gridSpan w:val="13"/>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18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DIRECTORS, EXECUTIVE OFFICERS, PROMOTERS AND CONTROL PERSONS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13</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SECURITY OWNERSHIP OF CERTAIN BENEFICIAL OWNERS AND MANAGEMENT</w:t>
              </w:r>
            </w:hyperlink>
          </w:p>
        </w:tc>
        <w:tc>
          <w:tcPr>
            <w:tcW w:w="2780" w:type="dxa"/>
            <w:vAlign w:val="bottom"/>
            <w:gridSpan w:val="2"/>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SECURITIES</w:t>
              </w:r>
            </w:hyperlink>
          </w:p>
        </w:tc>
        <w:tc>
          <w:tcPr>
            <w:tcW w:w="7000" w:type="dxa"/>
            <w:vAlign w:val="bottom"/>
            <w:gridSpan w:val="9"/>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INTERESTS OF NAMED EXPERTS AND COUNSEL</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21</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DISCLOSURE OF COMMISSION POSITION OF INDEMNIFICATION FOR SECURITIES ACT LIABILITIES</w:t>
              </w:r>
            </w:hyperlink>
          </w:p>
        </w:tc>
        <w:tc>
          <w:tcPr>
            <w:tcW w:w="1200" w:type="dxa"/>
            <w:vAlign w:val="bottom"/>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22</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BUSINESS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22</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CERTAIN RELATIONSHIPS AND RELATED TRANSACTIONS</w:t>
              </w:r>
            </w:hyperlink>
          </w:p>
        </w:tc>
        <w:tc>
          <w:tcPr>
            <w:tcW w:w="4640" w:type="dxa"/>
            <w:vAlign w:val="bottom"/>
            <w:gridSpan w:val="5"/>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32</w:t>
            </w:r>
          </w:p>
        </w:tc>
      </w:tr>
      <w:tr>
        <w:trPr>
          <w:trHeight w:val="196"/>
        </w:trPr>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MARKET FOR COMMON EQUITY AND RELATED STOCKHOLDER MATTERS</w:t>
              </w:r>
            </w:hyperlink>
          </w:p>
        </w:tc>
        <w:tc>
          <w:tcPr>
            <w:tcW w:w="3200" w:type="dxa"/>
            <w:vAlign w:val="bottom"/>
            <w:gridSpan w:val="3"/>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32</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EXECUTIVE COMPENSATION</w:t>
              </w:r>
            </w:hyperlink>
          </w:p>
        </w:tc>
        <w:tc>
          <w:tcPr>
            <w:tcW w:w="7060" w:type="dxa"/>
            <w:vAlign w:val="bottom"/>
            <w:gridSpan w:val="10"/>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FINANCIAL STATEMENTS</w:t>
              </w:r>
            </w:hyperlink>
          </w:p>
        </w:tc>
        <w:tc>
          <w:tcPr>
            <w:tcW w:w="7360" w:type="dxa"/>
            <w:vAlign w:val="bottom"/>
            <w:gridSpan w:val="14"/>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39</w:t>
            </w:r>
          </w:p>
        </w:tc>
      </w:tr>
      <w:tr>
        <w:trPr>
          <w:trHeight w:val="196"/>
        </w:trPr>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CHANGES IN AND DISAGREEMENTS WITH ACCOUNTANTS</w:t>
              </w:r>
            </w:hyperlink>
          </w:p>
        </w:tc>
        <w:tc>
          <w:tcPr>
            <w:tcW w:w="4560" w:type="dxa"/>
            <w:vAlign w:val="bottom"/>
            <w:gridSpan w:val="4"/>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40</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AVAILABLE INFORMATION</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40</w:t>
            </w:r>
          </w:p>
        </w:tc>
      </w:tr>
      <w:tr>
        <w:trPr>
          <w:trHeight w:val="676"/>
        </w:trPr>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307580" cy="568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7580" cy="5689600"/>
                    </a:xfrm>
                    <a:prstGeom prst="rect">
                      <a:avLst/>
                    </a:prstGeom>
                    <a:noFill/>
                  </pic:spPr>
                </pic:pic>
              </a:graphicData>
            </a:graphic>
          </wp:anchor>
        </w:drawing>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954,139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300" w:top="931" w:right="1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5689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5689600"/>
                    </a:xfrm>
                    <a:prstGeom prst="rect">
                      <a:avLst/>
                    </a:prstGeom>
                    <a:noFill/>
                  </pic:spPr>
                </pic:pic>
              </a:graphicData>
            </a:graphic>
          </wp:anchor>
        </w:drawing>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consumer support website, www.OPTIMIZERx.com and our subscriber base exceeding 2.5 million patients , continues to grow each month and we believe is quickly becoming the preferred way to access branded prescription vouchers, co-pay savings and other support programs.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filed a Form S-1 registration statement on April 11, 2014 to register the Common Shares and Agent Warrants. That registration statement went effective on May 28, 2015. We are filing this Form S-1 registration statement to maintain the registration of the shares of common stock underlying the Agent Warrants. The Common Shares are not a part of this registration statement.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23, 2015, we entered into an advisory agreement (the “Advisory Agreement”) with Merriman Capital, Inc. (“Merriman”). In exchange for advisory services pertaining to capital market interactions, we agreed to issue to Merriman 45,000 shares of common stock, with 45,000 additional shares of common stock due on or before August 15, 2015 and 60,000 shares of common stock as a bonus if we successfully up-list to a national exchange. We have issued and delivered to Merriman the 45,000 initial shares, and have issued and set aside the remaining 105,000 shares. If the contingencies are met for those 105,000 shares, they will be delivered to Merriman. All 150,000 shares (the “Advisory Shares”) are part of this registration statement.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931"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483"/>
        </w:trPr>
        <w:tc>
          <w:tcPr>
            <w:tcW w:w="40" w:type="dxa"/>
            <w:vAlign w:val="bottom"/>
            <w:tcBorders>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5020" w:type="dxa"/>
            <w:vAlign w:val="bottom"/>
            <w:tcBorders>
              <w:top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The Offering</w:t>
            </w: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w w:val="95"/>
              </w:rPr>
              <w:t>Common stock offered by the Selling Shareholders</w:t>
            </w: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1"/>
              </w:rPr>
              <w:t>954,139 shares of common stock, consisting of Agent Warrants to purchase up to 804,139 shares of</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0" w:type="dxa"/>
            <w:vAlign w:val="bottom"/>
            <w:gridSpan w:val="5"/>
          </w:tcPr>
          <w:p>
            <w:pPr>
              <w:ind w:left="220"/>
              <w:spacing w:after="0"/>
              <w:rPr>
                <w:sz w:val="20"/>
                <w:szCs w:val="20"/>
                <w:color w:val="auto"/>
              </w:rPr>
            </w:pPr>
            <w:r>
              <w:rPr>
                <w:rFonts w:ascii="Arial" w:cs="Arial" w:eastAsia="Arial" w:hAnsi="Arial"/>
                <w:sz w:val="18"/>
                <w:szCs w:val="18"/>
                <w:color w:val="auto"/>
              </w:rPr>
              <w:t>our common stock and 150,000 Advisory Shares of our 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Selling Shareholders</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Common stock outstanding</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22,912,319 shares of common stock as of April 17, 2015.</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Use of proceeds</w:t>
            </w: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3"/>
              </w:rPr>
              <w:t>We will not receive any proceeds from the sale or other disposition of the shares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0"/>
              </w:rPr>
              <w:t>covered by this prospectus. However, upon any exercise of the Agent Warrants for cash, such Selling</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1"/>
              </w:rPr>
              <w:t>Shareholders would pay us the exercise price of the warrants. Cash received from exercise of Agent</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0"/>
              </w:rPr>
              <w:t>Warrants will be used for general corporate purposes. Additionally, the Warrants are exercisable on a</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2"/>
              </w:rPr>
              <w:t>cashless basis. If any Agent Warrants are exercised on a cashless basis, we would not receive any</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1"/>
              </w:rPr>
              <w:t>cash payment from such Selling Shareholders upon any exercise of such Agent Warrants. See “</w:t>
            </w:r>
            <w:r>
              <w:rPr>
                <w:rFonts w:ascii="Arial" w:cs="Arial" w:eastAsia="Arial" w:hAnsi="Arial"/>
                <w:sz w:val="18"/>
                <w:szCs w:val="18"/>
                <w:i w:val="1"/>
                <w:iCs w:val="1"/>
                <w:color w:val="auto"/>
                <w:w w:val="91"/>
              </w:rPr>
              <w:t>Use</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i w:val="1"/>
                <w:iCs w:val="1"/>
                <w:color w:val="auto"/>
              </w:rPr>
              <w:t>of Proceeds</w:t>
            </w:r>
            <w:r>
              <w:rPr>
                <w:rFonts w:ascii="Arial" w:cs="Arial" w:eastAsia="Arial" w:hAnsi="Arial"/>
                <w:sz w:val="18"/>
                <w:szCs w:val="18"/>
                <w:color w:val="auto"/>
              </w:rPr>
              <w:t>” on page 9.</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OTC Bulletin Board Symbol</w:t>
            </w:r>
          </w:p>
        </w:tc>
        <w:tc>
          <w:tcPr>
            <w:tcW w:w="6200" w:type="dxa"/>
            <w:vAlign w:val="bottom"/>
            <w:gridSpan w:val="5"/>
          </w:tcPr>
          <w:p>
            <w:pPr>
              <w:ind w:left="220"/>
              <w:spacing w:after="0"/>
              <w:rPr>
                <w:sz w:val="20"/>
                <w:szCs w:val="20"/>
                <w:color w:val="auto"/>
              </w:rPr>
            </w:pPr>
            <w:r>
              <w:rPr>
                <w:rFonts w:ascii="Arial" w:cs="Arial" w:eastAsia="Arial" w:hAnsi="Arial"/>
                <w:sz w:val="18"/>
                <w:szCs w:val="18"/>
                <w:color w:val="auto"/>
                <w:w w:val="95"/>
              </w:rPr>
              <w:t>Our Common Stock is quoted on the OTCQB under the ticker symbol “OPRX”.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Risk Factors</w:t>
            </w: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1"/>
              </w:rPr>
              <w:t>You should consider the matters set forth under “</w:t>
            </w:r>
            <w:r>
              <w:rPr>
                <w:rFonts w:ascii="Arial" w:cs="Arial" w:eastAsia="Arial" w:hAnsi="Arial"/>
                <w:sz w:val="18"/>
                <w:szCs w:val="18"/>
                <w:i w:val="1"/>
                <w:iCs w:val="1"/>
                <w:color w:val="auto"/>
                <w:w w:val="91"/>
              </w:rPr>
              <w:t>Risk Factors</w:t>
            </w:r>
            <w:r>
              <w:rPr>
                <w:rFonts w:ascii="Arial" w:cs="Arial" w:eastAsia="Arial" w:hAnsi="Arial"/>
                <w:sz w:val="18"/>
                <w:szCs w:val="18"/>
                <w:color w:val="auto"/>
                <w:w w:val="91"/>
              </w:rPr>
              <w:t>” beginning on page 4, as well as other</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0"/>
          </w:tcPr>
          <w:p>
            <w:pPr>
              <w:ind w:left="220"/>
              <w:spacing w:after="0"/>
              <w:rPr>
                <w:sz w:val="20"/>
                <w:szCs w:val="20"/>
                <w:color w:val="auto"/>
              </w:rPr>
            </w:pPr>
            <w:r>
              <w:rPr>
                <w:rFonts w:ascii="Arial" w:cs="Arial" w:eastAsia="Arial" w:hAnsi="Arial"/>
                <w:sz w:val="18"/>
                <w:szCs w:val="18"/>
                <w:color w:val="auto"/>
                <w:w w:val="91"/>
              </w:rPr>
              <w:t>cautionary statements throughout or incorporated by reference in this prospectus, before deciding to</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invest in shares of our common stock.</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20" w:type="dxa"/>
            <w:vAlign w:val="bottom"/>
            <w:gridSpan w:val="3"/>
          </w:tcPr>
          <w:p>
            <w:pPr>
              <w:ind w:left="560"/>
              <w:spacing w:after="0"/>
              <w:rPr>
                <w:sz w:val="20"/>
                <w:szCs w:val="20"/>
                <w:color w:val="auto"/>
              </w:rPr>
            </w:pPr>
            <w:r>
              <w:rPr>
                <w:rFonts w:ascii="Arial" w:cs="Arial" w:eastAsia="Arial" w:hAnsi="Arial"/>
                <w:sz w:val="18"/>
                <w:szCs w:val="18"/>
                <w:b w:val="1"/>
                <w:bCs w:val="1"/>
                <w:color w:val="auto"/>
              </w:rPr>
              <w:t>Summary Financial Information</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12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Sheet Data</w:t>
            </w: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Cash</w:t>
            </w:r>
          </w:p>
        </w:tc>
        <w:tc>
          <w:tcPr>
            <w:tcW w:w="4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3,446,973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020" w:type="dxa"/>
            <w:vAlign w:val="bottom"/>
            <w:gridSpan w:val="3"/>
          </w:tcPr>
          <w:p>
            <w:pPr>
              <w:ind w:left="49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7,028,806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3,952,765</w:t>
            </w:r>
          </w:p>
        </w:tc>
        <w:tc>
          <w:tcPr>
            <w:tcW w:w="10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5020" w:type="dxa"/>
            <w:vAlign w:val="bottom"/>
            <w:gridSpan w:val="3"/>
          </w:tcPr>
          <w:p>
            <w:pPr>
              <w:ind w:left="49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2,418,722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2,284,563</w:t>
            </w:r>
          </w:p>
        </w:tc>
        <w:tc>
          <w:tcPr>
            <w:tcW w:w="1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5020" w:type="dxa"/>
            <w:vAlign w:val="bottom"/>
            <w:gridSpan w:val="3"/>
          </w:tcPr>
          <w:p>
            <w:pPr>
              <w:ind w:left="49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4,610,084</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1,668,202</w:t>
            </w:r>
          </w:p>
        </w:tc>
        <w:tc>
          <w:tcPr>
            <w:tcW w:w="100" w:type="dxa"/>
            <w:vAlign w:val="bottom"/>
            <w:tcBorders>
              <w:right w:val="single" w:sz="8" w:color="auto"/>
            </w:tcBorders>
          </w:tcPr>
          <w:p>
            <w:pPr>
              <w:spacing w:after="0"/>
              <w:rPr>
                <w:sz w:val="20"/>
                <w:szCs w:val="20"/>
                <w:color w:val="auto"/>
              </w:rPr>
            </w:pPr>
          </w:p>
        </w:tc>
      </w:tr>
      <w:tr>
        <w:trPr>
          <w:trHeight w:val="441"/>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Revenue</w:t>
            </w:r>
          </w:p>
        </w:tc>
        <w:tc>
          <w:tcPr>
            <w:tcW w:w="4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6,502,962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4,679,741</w:t>
            </w: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Income (Loss) for the Period</w:t>
            </w:r>
          </w:p>
        </w:tc>
        <w:tc>
          <w:tcPr>
            <w:tcW w:w="5020" w:type="dxa"/>
            <w:vAlign w:val="bottom"/>
            <w:gridSpan w:val="3"/>
          </w:tcPr>
          <w:p>
            <w:pPr>
              <w:ind w:left="49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(1,025,393)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(267,290)</w:t>
            </w:r>
          </w:p>
        </w:tc>
      </w:tr>
      <w:tr>
        <w:trPr>
          <w:trHeight w:val="247"/>
        </w:trPr>
        <w:tc>
          <w:tcPr>
            <w:tcW w:w="4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520"/>
          </w:cols>
          <w:pgMar w:left="240" w:top="663" w:right="1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we will be able to attract competent employees, but no assurance can be given that we will be successful in this regard. If we are unable to engage and retain the necessary personnel, our business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Auxilium, Actavis, AstraZeneca, Alcon, Daichi Sankyo, Shire, Activis,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64%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 Loss of any of these contracts would adversely affect our revenue and impede our ability to grow revenues.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prepared this prospectus to allow the Selling Shareholders or their successors, assignees or other permitted transferees to sell or otherwise dispose of, from time to time, up to 954,139 shares of our Common Stock. Of the shares of common stock being offered under this prospectus 804,139 shares are able to be acquired pursuant to the Agent Warrants we issued in connection with our March 2014 Private Placement, which Agent Warrants are currently exercisable. The remaining 150,000 Advisory Shares were issued in connection with an Advisory Agreement with Merriman and consist of 45,000 shares of common stock, with 45,000 additional shares of common stock due on or before August 15, 2015 and 60,000 shares of common stock as a bonus if we successfully up-list to a national exchange. We have issued and delivered to Merriman the 45,000 initial shares, and have issued and set aside the remaining 105,000 shares. If the contingencies are met for those 105,000 shares, they will be delivered to Merriman. All 150,000 shares are part of this registration statement.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and Advisory Shares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22,912,319 shares of Common Stock issued and outstanding as of April 17, 2015. Beneficial ownership is determined under Section 13(d) of the Exchange Act and generally includes voting or investment power with respect to securities and including any securities that grant the Selling Shareholders the right to acquire Common Stock within 60 days of April 17, 2015. Unless otherwise noted, each person or group identified possesses sole voting and investment power with respect to the shares, subject to community property laws where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Shares of Common Stock</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Owned After</w:t>
            </w:r>
          </w:p>
        </w:tc>
        <w:tc>
          <w:tcPr>
            <w:tcW w:w="100" w:type="dxa"/>
            <w:vAlign w:val="bottom"/>
          </w:tcPr>
          <w:p>
            <w:pPr>
              <w:spacing w:after="0"/>
              <w:rPr>
                <w:sz w:val="18"/>
                <w:szCs w:val="18"/>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After the Sale of</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the Sale of all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the Sale of all</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covered</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covered by</w:t>
            </w:r>
          </w:p>
        </w:tc>
        <w:tc>
          <w:tcPr>
            <w:tcW w:w="1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Covered by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covered by</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by</w:t>
            </w:r>
          </w:p>
        </w:tc>
      </w:tr>
      <w:tr>
        <w:trPr>
          <w:trHeight w:val="24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Shareholder</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this Prospectus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 Prospectus</w:t>
            </w:r>
          </w:p>
        </w:tc>
        <w:tc>
          <w:tcPr>
            <w:tcW w:w="10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this Prospectus</w:t>
            </w:r>
          </w:p>
        </w:tc>
      </w:tr>
      <w:tr>
        <w:trPr>
          <w:trHeight w:val="202"/>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Merriman Capital, Inc.(1)</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Merriman Capital, Inc.(2)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591,613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591,613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Taglich Brothers, Inc.(3)</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212,526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212,526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660" w:right="2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150,000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unconditionally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In early 2014, Mr. Milton Wilpon (“Mr. Wilpon”) of New Jersey claimed to have obtained a default judgment for approximately $929,000 in the New Jersey Superior Court, Essex County (the “Judgment”) against a predecessor of ours and was seeking to amend the Judgment to add us as a judgment debtor. We appeared in the action and filed a motion to vacate the Judgment on several grounds. , In September 2014, the Court granted our motion and vacated the Judgment in its entirety and dismissed the action.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will continue to vigorously oppose Mr. Wilpon’s claims.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640" w:type="dxa"/>
            <w:vAlign w:val="bottom"/>
            <w:tcBorders>
              <w:bottom w:val="single" w:sz="8" w:color="auto"/>
            </w:tcBorders>
          </w:tcPr>
          <w:p>
            <w:pPr>
              <w:ind w:left="280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Chairman, Chief Executive Officer, Chief Strategic Officer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Operating Officer, Secretary, Treasurer and Director (1)</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February 1, 2015 Mr. Lester moved from the role of Chief Operating Officer to Vice President, Channel Management.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our Chief Strategic Officer since August 14, 2013 and our Chief Executive Officer since September 20, 2013.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Lester served as our Secretary since July 28, 2010, and Chief Operating Officer since January 14, 2013 until he transitioned to Vice President, Channel Management in January 2015. 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an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Lester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Lester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ind w:firstLine="8"/>
        <w:spacing w:after="0" w:line="277" w:lineRule="auto"/>
        <w:tabs>
          <w:tab w:leader="none" w:pos="1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2014, the board of directors:</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Reviewed and discussed the written disclosures and the letter from our independent auditors on the matters relating to the auditor's independence.</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2014 to be included in this Prospectus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Known failures</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Transactions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not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file a required</w:t>
            </w: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w w:val="91"/>
              </w:rPr>
              <w:t>late reports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timely 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form</w:t>
            </w:r>
          </w:p>
        </w:tc>
      </w:tr>
      <w:tr>
        <w:trPr>
          <w:trHeight w:val="202"/>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A. Harrell</w:t>
            </w:r>
          </w:p>
        </w:tc>
        <w:tc>
          <w:tcPr>
            <w:tcW w:w="2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CEO, Chairman, Chief Strategic Officer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COO, Secretary, Treasurer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55"/>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April 17, 2015, by each Director, each Named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Common 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Beneficial</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Percentage</w:t>
            </w:r>
          </w:p>
        </w:tc>
      </w:tr>
      <w:tr>
        <w:trPr>
          <w:trHeight w:val="237"/>
        </w:trPr>
        <w:tc>
          <w:tcPr>
            <w:tcW w:w="2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Ownership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of Class</w:t>
            </w:r>
          </w:p>
        </w:tc>
        <w:tc>
          <w:tcPr>
            <w:tcW w:w="140" w:type="dxa"/>
            <w:vAlign w:val="bottom"/>
          </w:tcPr>
          <w:p>
            <w:pPr>
              <w:spacing w:after="0"/>
              <w:rPr>
                <w:sz w:val="20"/>
                <w:szCs w:val="20"/>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160" w:type="dxa"/>
            <w:vAlign w:val="bottom"/>
          </w:tcPr>
          <w:p>
            <w:pPr>
              <w:jc w:val="right"/>
              <w:spacing w:after="0"/>
              <w:rPr>
                <w:sz w:val="20"/>
                <w:szCs w:val="20"/>
                <w:color w:val="auto"/>
              </w:rPr>
            </w:pPr>
            <w:r>
              <w:rPr>
                <w:rFonts w:ascii="Arial" w:cs="Arial" w:eastAsia="Arial" w:hAnsi="Arial"/>
                <w:sz w:val="18"/>
                <w:szCs w:val="18"/>
                <w:color w:val="auto"/>
              </w:rPr>
              <w:t>246,850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521,875</w:t>
            </w:r>
          </w:p>
        </w:tc>
        <w:tc>
          <w:tcPr>
            <w:tcW w:w="1140" w:type="dxa"/>
            <w:vAlign w:val="bottom"/>
          </w:tcPr>
          <w:p>
            <w:pPr>
              <w:jc w:val="right"/>
              <w:spacing w:after="0"/>
              <w:rPr>
                <w:sz w:val="20"/>
                <w:szCs w:val="20"/>
                <w:color w:val="auto"/>
              </w:rPr>
            </w:pPr>
            <w:r>
              <w:rPr>
                <w:rFonts w:ascii="Arial" w:cs="Arial" w:eastAsia="Arial" w:hAnsi="Arial"/>
                <w:sz w:val="18"/>
                <w:szCs w:val="18"/>
                <w:color w:val="auto"/>
              </w:rPr>
              <w:t>2,583,750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3,352,475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265,625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752,125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373,348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472,348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All Executive Officers and 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467,850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4,113,696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5,419,046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Less than 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480" w:hanging="472"/>
        <w:spacing w:after="0" w:line="277"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April 17, 2015, and are included in common stock beneficial ownership pursuant to Rule 13d-3(d)(1) of the Exchange Act.</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April 17, 2015.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April 17, 2015 there were 22,912,319 shares of our common stock issued and outstanding and 0 shares of our preferred stock issued and outstanding.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150,000 shares in the Advisory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1,854,139 shares of our common stock at a weighted average exercise price of $1.69 as of December 31,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1,307,500 shares of our common stock at a weighted average exercise price of $1.31 as of December 31,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has also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2014 and into 2015, our company continues to be focused on four key operational areas: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pharmaceutical brands and budgets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physician utilization in our current EHR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promotional network in other EHRs and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infrastructure and resources to fully support and exploit each of the above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 this focus, we were able to demonstrate success in each during 2014 through:</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sales of approximately 39% over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promotional transactions of approximately 26% over those in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distributed eCoupons related to approximately 80 different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generated operating income of approximately $400,000, excluding non-cash expenses.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launching our SampleMD e-coupon solution within Quest Diagnostics’ Care360 EMR and eHealthline networks.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acquisition of new pharmaceutical manufacturers and brands promoting through our platforms.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of key senior level personnel, including a highly experienced financial executive as CFO and a former global marketing director from AstraZeneca to lead east coast sales, while expanded our Board of Directors with seasoned executives.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$10 million dollars in new capital to exercise the negotiated buyout of Vicis, which netted out an additional $2.8 million dollars to us, and a reduction of approximately 7 million in potential fully diluted shares.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and launch of the SampleMD 2.0 technology platform to support growth and are upgrading to Oracle database software to further improve system and reporting capacity.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and proving an outstanding Return on Investment associated with our pharmaceutical promotions through three independent analytics firms involving multiple pharmaceutical brands and manufacturers.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unveiling VoucherDVM and engaged leading platforms to offer automated vet product savings. The company has formalized an agreement with National Veterinary Associates, a leading national hospital network, to beta launch in second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positive cash flow from operations in 2014, excluding working capital fluctuations, and we expect to continue to do so in 2015, as well as to be profitable during the upcoming year based on the expected escalation of revenues.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in the process of completing the initial rollout of brands into the Practice Fusion network, as well as discussing 2015 rollout dates with other potential networks.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we signed an agreement with Practice Fusion, the largest cloud-based electronic health records (EHR) platform, to integrate and automate our patient savings and support system to enable Practice Fusion prescribers to more efficiently help patients better afford and adhere to their prescribed medications. Practice Fusion’s EHR is used by a community of more than 112,000 active medical professionals monthly with over 91 million patient records and should have a significant impact on our prescribing reach and sales once live. We anticipate that the integration will be completed early in the second quarter of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086"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We are enforcing our agreements to integrate our promotions within LDM/PDR’s network of over 100,000 physicians and work collectively to integrate into NextGen. This delay in implementation of agreed terms has resulted in significant loss of revenue and profits to OptimizeRx. Thus we are aggressively seeking multiple strategies, including legal, to address and resolve this.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we signed an agreement with HCA Information Technology &amp; Services, Inc.to pilot our eCoupon promotional system within their network.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HCA is the largest hospital system in the 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our first agreement with National Veterinary Associates (NVA), one of the largest veterinary hospital systems in the 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at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focus on our New Drug File Integration.</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will begin a test rollout of our demand drug rep and sample request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ePrescribe Training – we have multiple opportunities pending to leverage our partnership with WPP/Grey to train representatives on understanding and leveraging EHR sales opportunities.</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VoucherDVM - we continue to advance our negotiations with each of the leading veterinarian technology platforms and have signed an agreement with National Veterinary Associates, one of the largest veterinary groups in the U.S., to initiate a beta launch within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Held multiple meetings generated through Pharma to bring on new Health Systems/ePrescribe Platforms.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the Noble Financial Capital Markets Eleventh Annual Equity Conference at Club Med.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Sponsored the 2nd Annual ePrescribe/EHR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and distributed a White Paper to demonstrate the eCoupon ROI to Pharmaceutical Manufacturers.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our partnership with Grey Healthcare, rebranded our promotional marketing items, including new brochures, presentations, and digital media.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generated positive cash flow from operations, when ignoring working capital fluctuations, of approximately $400,000 in 2014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6,502,962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4,679,741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Revenue Share Expense</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3,221,534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1,861,316</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3,281,428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2,818,425</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4,307,756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3,085,961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Less Noncash operating expenses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1,439,877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717,173</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Cash operating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2,867,879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2,368,788</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 excluding noncash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413,549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449,637</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Operational Update</w:t>
            </w: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are intensively focused on increasing physician utilization of our partner networks. Prior to the launch of the Practice Fusion network, the total reach of our partner networks was approximately 300,000 providers. However, only approximately 100,000 providers have access to eCoupon functionality. Approximately 65,000 providers have used our eCoupon functionality at least once, but only approximately 20,000 providers actually use the networks regularly at the present time. We are working individually with each of our partners based on their particular situation to improve workflow to increase coupon utilization by those providers that have access, obtain access for those providers that currently do not have e-coupon access, and increase overall revenue derived from each channel. We believe there is significant revenue growth available within our existing brands by better utilization of our existing partner networks in addition to the revenue growth provided by new brands and new network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2014</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we also successfully completed a $10 million capital raise and exercised the option to redeem Vicis Capital Master Fund’s holdings in our company. By successfully executing these initiatives we reduced potential fully diluted shares by approximately 7 million and provided an additional $2.8 million in working capital to support our growth and eliminate dividend payments and other unfavorable provisions of Vicis’ preferred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added two new outside members to our Board of Directors. Gus Halas has an extensive operating background at a variety of companies across a wide range of industries. He brings broad based business and investor perspectives to our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as our Chief Financial Officer, a certified public accountant with extensive financial experience with public companies.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2014, we settled litigation related to a patent infringement case with Physicians Interactive Holdings, Inc. and Skyscape.com. All actions and claims have been released. We believe this settlement will reduce legal expenses moving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the second quarter of 2015 based on anticipated contractual and platform commitments being implemented.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pleased with the status of our current discussions with, and the value recognized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204"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OPTIMIZEHR – Our consulting practice focused on educating and working with pharmaceutical manufacturers on identifying, formulating, and implementing new eRx media strategies for promoting their products.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 Currently, this activity results in less than 10% of our revenue, but we believe this represents a significant growth opportunity for us.</w:t>
      </w:r>
    </w:p>
    <w:p>
      <w:pPr>
        <w:spacing w:after="0" w:line="191"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2014. We are also a cosponsor of the March 2015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SampleMD and OPTIMIZERx primarily through the following:</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in 2014, we hired a highly seasoned Sales and Marketing Executive, who has decades of global pharmaceutical marketing and sales experience at AstraZeneca and elsewhere, as our Eastern Vice President of Sales. We continue to be alert for qualified sales personnel and will expand our sales force as revenues continue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SampleMD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allows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were awarded a patent for our innovative SampleMD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We have also submitted and will be preparing additional filings to protect our intellectual property on forthcoming solutions that will further assist and support physicians, pharmacists and patients.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both licensed trademarks of 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12 full time employees and 1 part time employee, in addition to contracted programmers, as needed, through our established relationship with Simple eSolutions, a technical and programming resources partner. Additionally, we have one contracted business development individual targeting new EMR channel and pharma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2,886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2014 was approximately $6.5 million, an increase of 39% from the year ended December 31, 2013.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2015.</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64% of our revenue in the year ended December 31, 2014 from our largest 5 customers, with approximately 20% of revenue from our largest customer. During the year ended December 31, 2013, approximately 75% of revenue came from our 5 largest customers, with 36% from our largest customer. While we are still dependent on major customers, as our customer base expands, we are becoming less dependent on any one customer.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composed of revenue share expense, increased in the year ended December 31, 2014, over the year ended December 31, 2013 as a result of the revenue increases. In addition, revenue share expense as a percentage of revenue in 2014 increased over 2013 from approximately 40% in the year ended December 31, 2013 to approximately 50% in the year ended December 31,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2015 to continue at levels similar to, or greater than, that of 2014 as revenues subject to revenue share expense continues to increase as a percentage of our overall revenues, and as a result of the LDM agreement being in effect for all of 2015, compared with only 10 months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$4.3 million for the year ended December 31, 2014 from approximately $3.1 million for the year ended December 31, 2013, an increase of approximately 40%.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1,477,450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1,320,065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242,169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72,487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100,077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87,201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264,340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189,566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131,637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2,735,514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2,562,579</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1,172,242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reasons for the increase in operating expenses in 2014 are stock-based compensation, and the lawsuit settlement, which resulted in a $400,000 payment to the plaintiff. Ignoring those items, operating expenses only increased approximately 7% compared with a revenue increase of approximately 40%. The lawsuit settlement is a one-time expense that is not expected to recur, although as discussed above, it affects revenue share expense on an ongoing basis. Stock based compensation expense increased significantly as a result of stock grants to two executive officers and option grants to new and existing employees. We expect that stock compensation expenses will be significantly reduced in 2015 as there are no stock grants scheduled, aside from some remaining shares that will come due in 2015 to our new directors under our Director Compensation Plan, and amortization of the stock granted to the previous CEO has been completed.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remaining operating expenses, there were a variety of increases, some of which were offset by savings in other areas. Salaries, wages and benefits increased as a result of additional staff. Professional fees decreased primarily as a result of the resolution of litigation in 2014, resulting in lower legal fees. Advertising and promotion increased as a result of our sponsorship of eCoupon conferences. Development and Maintenance increased as a result of expansion of our system capacity and capabilities.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finished the year ended December 31, 2014 with a loss of approximately $1.0 million, as compared to a loss of approximately $0.25 million during the year ended December 31, 2013. The reasons for specific components are discussed above. Overall, the increase in revenue and resulting gross margin was offset by increased operating expenses, however the majority of those increases were in non-recurring or non-cash items. The lawsuit settlement with LDM accounted for $400,000 of the increased loss. In addition, the 2014 loss included noncash items of approximately $1.2 million related to stock based compensation and approximately $264,000 of depreciation and amortization. Ignoring working capital changes, we had positive cash flow from operations of approximately $400,000 during the year ended December 31, 2014. In the year ended December 31, 2013, the loss of approximately $267,000 included non-cash expenses of only approximately $525,000 in stock-based compensation and $195,000 in depreciation and amortization, resulting in cash flow from operations (ignoring working capital items) of slightly over $450,000 in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the notes to the financial statements, we have restated our 2013 financial statements.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 These items were discovered as a result of their effect on the 2014 financial statements and a result, the quarterly financial statements also will be restated. Following are the restated income statement numbers for the first three quarters that will be used in the 2015 quarterly reports on Form 10-Q, as well as the fourth quarter amounts for information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Third</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37"/>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1,289,428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1,426,808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1,967,305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6,502,962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730,140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958,334</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971,649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728,017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696,668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861,087</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995,656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3,281,428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1,490,218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896,529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765,076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4,307,756</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(762,201)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(199,861)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(294,846)</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230,580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(1,026,328)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Loss before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total current assets of approximately $5.6 million, compared with current liabilities of approximately $2.4 million, resulting in working capital of approximately $3.2 million and a current ratio of approximately 2.3 to 1. This is a significant improvement over the working capital balance of approximately $350,000 and current ratio of 1.15 to 1 at December 31, 2013. The increase is largely due to the private offering we conducted in March of 2014, resulting in $2.8 million in working capital. We are currently generating positive cash flow from operations, ignoring working capital fluctuations, and we expect our working capital balance to continue to improve in future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Our operating activities used approximately $50,000 in the year ended December 31, 2014, however, this was significantly impacted by working capital items, primarily an increase in accounts receivable of approximately $589,000 as a result of increasing sales throughout the year. Without this, we would have had positive cash flow from operations and we expect positive cash flow from operations in future quarters in 2015 and for the full year in 2015. When ignoring working capital fluctuations, we generated positive cash flow from operations in both years as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$300,000 in the year ended December 31, 2013.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The redemption also alleviated further dilution in connection with dividends payable to the preferred shareholder. With the financing and cash on hand, we have sufficient cash to operate our business for more than the next twelve months and we do not anticipate the need to raise additional equity for operating purposes. There were no cash flows from financing activities in the same period in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2014, however, we consider our critical accounting policies to be those related to revenue recognition, calculation of revenue share expense, stock-based compensation, capitalization and related amortization of intangible assets, and impairment of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240" w:type="dxa"/>
            <w:vAlign w:val="bottom"/>
            <w:tcBorders>
              <w:top w:val="single" w:sz="8" w:color="auto"/>
            </w:tcBorders>
          </w:tcPr>
          <w:p>
            <w:pPr>
              <w:ind w:left="3800"/>
              <w:spacing w:after="0"/>
              <w:rPr>
                <w:sz w:val="20"/>
                <w:szCs w:val="20"/>
                <w:color w:val="auto"/>
              </w:rPr>
            </w:pPr>
            <w:r>
              <w:rPr>
                <w:rFonts w:ascii="Arial" w:cs="Arial" w:eastAsia="Arial" w:hAnsi="Arial"/>
                <w:sz w:val="18"/>
                <w:szCs w:val="18"/>
                <w:color w:val="auto"/>
              </w:rPr>
              <w:t>Quarter Ended</w:t>
            </w:r>
          </w:p>
        </w:tc>
        <w:tc>
          <w:tcPr>
            <w:tcW w:w="3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2013</w:t>
            </w:r>
          </w:p>
        </w:tc>
        <w:tc>
          <w:tcPr>
            <w:tcW w:w="3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655"/>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Quarter Ended March 31, 2015 (through March 20,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On April 28, 2015, the last sales price per share of our common stock was $1.15.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17, 2015, we had 22,912,319 shares of our common stock issued and outstanding, held by 326 shareholders of record at our transfer agent, with approximately 1,000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Equity Compensation Plans as of December 31, 2014</w:t>
            </w: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Securities to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4"/>
              </w:rPr>
              <w:t>be issued upon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840" w:type="dxa"/>
            <w:vAlign w:val="bottom"/>
          </w:tcPr>
          <w:p>
            <w:pPr>
              <w:ind w:left="3100"/>
              <w:spacing w:after="0"/>
              <w:rPr>
                <w:sz w:val="20"/>
                <w:szCs w:val="20"/>
                <w:color w:val="auto"/>
              </w:rPr>
            </w:pPr>
            <w:r>
              <w:rPr>
                <w:rFonts w:ascii="Arial" w:cs="Arial" w:eastAsia="Arial" w:hAnsi="Arial"/>
                <w:sz w:val="18"/>
                <w:szCs w:val="18"/>
                <w:b w:val="1"/>
                <w:bCs w:val="1"/>
                <w:color w:val="auto"/>
              </w:rPr>
              <w:t>Plan Category</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plans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6393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shareholders (2013 Equity Compensation Plan)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Plan not approved by shareholders (Other Equity Compensation (includes options and warrants))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0"/>
                <w:szCs w:val="20"/>
                <w:color w:val="auto"/>
              </w:rPr>
            </w:pPr>
          </w:p>
        </w:tc>
      </w:tr>
      <w:tr>
        <w:trPr>
          <w:trHeight w:val="215"/>
        </w:trPr>
        <w:tc>
          <w:tcPr>
            <w:tcW w:w="116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410,000</w:t>
            </w:r>
          </w:p>
        </w:tc>
        <w:tc>
          <w:tcPr>
            <w:tcW w:w="20" w:type="dxa"/>
            <w:vAlign w:val="bottom"/>
          </w:tcPr>
          <w:p>
            <w:pPr>
              <w:spacing w:after="0"/>
              <w:rPr>
                <w:sz w:val="18"/>
                <w:szCs w:val="18"/>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3,161,639</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410,000</w:t>
            </w:r>
          </w:p>
        </w:tc>
      </w:tr>
      <w:tr>
        <w:trPr>
          <w:trHeight w:val="21"/>
        </w:trPr>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440"/>
            <w:col w:w="3980"/>
          </w:cols>
          <w:pgMar w:left="240" w:top="88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Name and principal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196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Salary ($)</w:t>
            </w: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Shad Stastney</w:t>
            </w:r>
          </w:p>
        </w:tc>
        <w:tc>
          <w:tcPr>
            <w:tcW w:w="120" w:type="dxa"/>
            <w:vAlign w:val="bottom"/>
          </w:tcPr>
          <w:p>
            <w:pPr>
              <w:spacing w:after="0"/>
              <w:rPr>
                <w:sz w:val="17"/>
                <w:szCs w:val="17"/>
                <w:color w:val="auto"/>
              </w:rPr>
            </w:pPr>
          </w:p>
        </w:tc>
        <w:tc>
          <w:tcPr>
            <w:tcW w:w="12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2014</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0" w:type="dxa"/>
            <w:vAlign w:val="bottom"/>
          </w:tcPr>
          <w:p>
            <w:pPr>
              <w:spacing w:after="0"/>
              <w:rPr>
                <w:sz w:val="17"/>
                <w:szCs w:val="17"/>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Former Chairman,</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126,762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252,500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379,262</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President, CEO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183,750</w:t>
            </w:r>
          </w:p>
        </w:tc>
        <w:tc>
          <w:tcPr>
            <w:tcW w:w="1160" w:type="dxa"/>
            <w:vAlign w:val="bottom"/>
          </w:tcPr>
          <w:p>
            <w:pPr>
              <w:ind w:left="580"/>
              <w:spacing w:after="0"/>
              <w:rPr>
                <w:sz w:val="20"/>
                <w:szCs w:val="20"/>
                <w:color w:val="auto"/>
              </w:rPr>
            </w:pPr>
            <w:r>
              <w:rPr>
                <w:rFonts w:ascii="Arial" w:cs="Arial" w:eastAsia="Arial" w:hAnsi="Arial"/>
                <w:sz w:val="18"/>
                <w:szCs w:val="18"/>
                <w:color w:val="auto"/>
                <w:w w:val="86"/>
              </w:rPr>
              <w:t>100,000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394,969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678,719</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Chairman, Chief</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180,104</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19,151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199,255</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 Chief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Strategic Officer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327,938</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COO, Secretary,</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Treasurer and 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692,344</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w w:val="98"/>
              </w:rPr>
              <w:t>VP of Sales and Director</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160" w:type="dxa"/>
            <w:vAlign w:val="bottom"/>
          </w:tcPr>
          <w:p>
            <w:pPr>
              <w:ind w:left="680"/>
              <w:spacing w:after="0"/>
              <w:rPr>
                <w:sz w:val="20"/>
                <w:szCs w:val="20"/>
                <w:color w:val="auto"/>
              </w:rPr>
            </w:pPr>
            <w:r>
              <w:rPr>
                <w:rFonts w:ascii="Arial" w:cs="Arial" w:eastAsia="Arial" w:hAnsi="Arial"/>
                <w:sz w:val="18"/>
                <w:szCs w:val="18"/>
                <w:color w:val="auto"/>
                <w:w w:val="83"/>
              </w:rPr>
              <w:t>11,000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168,500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209,235</w:t>
            </w: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CFO</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the date of the Agreement, Mr. Stastney was no longer an officer or director of our company and all prior agreements with Mr. Stastney were terminated in their entirety;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Stastney received 500,000 shares of our common stock, half in September 2013 and the balance in January,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agreed to use our best efforts to register Mr. Stastney’s shares on Form S-8 by March 1, 2014 if such shares were eligible for S-8 registration;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Mr. Stastney $126,762 and his reasonable out of pocket expenses incurred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Stastney was involved with the company as a consultant for one year to assist us on financing activities, strategic and legal initiatives, and to help the transition with several ongoing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both"/>
        <w:spacing w:after="0" w:line="302" w:lineRule="auto"/>
        <w:rPr>
          <w:sz w:val="20"/>
          <w:szCs w:val="20"/>
          <w:color w:val="auto"/>
        </w:rPr>
      </w:pPr>
      <w:r>
        <w:rPr>
          <w:rFonts w:ascii="Arial" w:cs="Arial" w:eastAsia="Arial" w:hAnsi="Arial"/>
          <w:sz w:val="16"/>
          <w:szCs w:val="16"/>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he is terminated with or without cause. Such payments would be due monthly at his then current salary rate for a period of 24 months following termination. On August 14, 2013, we amended the employment agreement with Mr. Harrell Pursuant to the terms and conditions of the Amendment to Employment Agreement with David Harrell:</w:t>
      </w:r>
    </w:p>
    <w:p>
      <w:pPr>
        <w:spacing w:after="0" w:line="15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Harrell’s contract also contains a provision providing for a 5% annual salary increase, which he waived on various occasions in the past. On August 14, 2013 we granted restricted stock awards under our 2013 Incentive Plan. Mr. David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16, 2014, Mr. Lester’s salary was increased to a base salary of $165,000, but no formal contract amendment was signed.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Lester was granted a restricted stock award of 50,000 shares under our 2013 Incentive Plan on January 9, 2014. This award was fully vested at the time of grant and was valued at $1.89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February 1, 2015, Mr. Lester’s employment contract was terminated. On that date, he moved from Chief Operating Officer to the role of Vice President, Channel Management and his new salary is $135,000 per year. He continues to be entitled to vacation, sick days, and the other benefits afforded to all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Pursuant to the terms and conditions of the Amendment to Employment Agreement with Terry Hamilton:</w:t>
      </w:r>
    </w:p>
    <w:p>
      <w:pPr>
        <w:spacing w:after="0" w:line="1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but no formal contract amendment was signed. His salary remains at that level as of the date of this filing.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 As of April 1, 2015, Mr. Baker’s base salary will be increased to $150,000, but no formal contract amendment has been signed.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color w:val="auto"/>
              </w:rPr>
              <w:t>STOCK AWARDS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or 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That Have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37"/>
        </w:trPr>
        <w:tc>
          <w:tcPr>
            <w:tcW w:w="1920" w:type="dxa"/>
            <w:vAlign w:val="bottom"/>
            <w:gridSpan w:val="3"/>
          </w:tcPr>
          <w:p>
            <w:pPr>
              <w:spacing w:after="0"/>
              <w:rPr>
                <w:sz w:val="20"/>
                <w:szCs w:val="20"/>
                <w:color w:val="auto"/>
              </w:rPr>
            </w:pPr>
            <w:r>
              <w:rPr>
                <w:rFonts w:ascii="Arial" w:cs="Arial" w:eastAsia="Arial" w:hAnsi="Arial"/>
                <w:sz w:val="18"/>
                <w:szCs w:val="18"/>
                <w:color w:val="auto"/>
              </w:rPr>
              <w:t>Name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Unexercisable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xml:space="preserve">Vested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Vested (#)</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 (#)</w:t>
            </w: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4/26/15</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Harrell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49,000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5/19/19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122,000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5"/>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Director Compensation</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480" w:type="dxa"/>
            <w:vAlign w:val="bottom"/>
            <w:gridSpan w:val="7"/>
          </w:tcPr>
          <w:p>
            <w:pPr>
              <w:spacing w:after="0"/>
              <w:rPr>
                <w:sz w:val="20"/>
                <w:szCs w:val="20"/>
                <w:color w:val="auto"/>
              </w:rPr>
            </w:pPr>
            <w:r>
              <w:rPr>
                <w:rFonts w:ascii="Arial" w:cs="Arial" w:eastAsia="Arial" w:hAnsi="Arial"/>
                <w:sz w:val="18"/>
                <w:szCs w:val="18"/>
                <w:color w:val="auto"/>
              </w:rPr>
              <w:t>The table below summarizes all compensation of our directors as of December 31, 2014.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w w:val="84"/>
              </w:rPr>
              <w:t>9,986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11,827</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21,813</w:t>
            </w:r>
          </w:p>
        </w:tc>
        <w:tc>
          <w:tcPr>
            <w:tcW w:w="20" w:type="dxa"/>
            <w:vAlign w:val="bottom"/>
          </w:tcPr>
          <w:p>
            <w:pPr>
              <w:spacing w:after="0"/>
              <w:rPr>
                <w:sz w:val="17"/>
                <w:szCs w:val="17"/>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9,579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 Both Dr. Pinney and Mr. Halas joined the Board in August,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F-1 and F-2</w:t>
            </w:r>
          </w:p>
        </w:tc>
        <w:tc>
          <w:tcPr>
            <w:tcW w:w="44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Reports of Independent Registered Public Accounting Firms;</w:t>
              </w:r>
            </w:hyperlink>
          </w:p>
        </w:tc>
        <w:tc>
          <w:tcPr>
            <w:tcW w:w="5740" w:type="dxa"/>
            <w:vAlign w:val="bottom"/>
            <w:gridSpan w:val="5"/>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F-3</w:t>
            </w:r>
          </w:p>
        </w:tc>
        <w:tc>
          <w:tcPr>
            <w:tcW w:w="10160" w:type="dxa"/>
            <w:vAlign w:val="bottom"/>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as of December 31, 2014 and 2013;</w:t>
              </w:r>
            </w:hyperlink>
          </w:p>
        </w:tc>
      </w:tr>
      <w:tr>
        <w:trPr>
          <w:trHeight w:val="20"/>
        </w:trPr>
        <w:tc>
          <w:tcPr>
            <w:tcW w:w="126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F-4</w:t>
            </w:r>
          </w:p>
        </w:tc>
        <w:tc>
          <w:tcPr>
            <w:tcW w:w="64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Operations for the years ended December 31, 2014 and 2013;</w:t>
              </w:r>
            </w:hyperlink>
          </w:p>
        </w:tc>
        <w:tc>
          <w:tcPr>
            <w:tcW w:w="370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F-5</w:t>
            </w:r>
          </w:p>
        </w:tc>
        <w:tc>
          <w:tcPr>
            <w:tcW w:w="1016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 of Stockholders’ Equity as of December 31, 2014;</w:t>
              </w:r>
            </w:hyperlink>
          </w:p>
        </w:tc>
      </w:tr>
      <w:tr>
        <w:trPr>
          <w:trHeight w:val="20"/>
        </w:trPr>
        <w:tc>
          <w:tcPr>
            <w:tcW w:w="126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F-7</w:t>
            </w:r>
          </w:p>
        </w:tc>
        <w:tc>
          <w:tcPr>
            <w:tcW w:w="68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 for the years ended December 31, 2014 and 2013; and</w:t>
              </w:r>
            </w:hyperlink>
          </w:p>
        </w:tc>
        <w:tc>
          <w:tcPr>
            <w:tcW w:w="334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F-8</w:t>
            </w:r>
          </w:p>
        </w:tc>
        <w:tc>
          <w:tcPr>
            <w:tcW w:w="32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Notes to Financial Statements.</w:t>
              </w:r>
            </w:hyperlink>
          </w:p>
        </w:tc>
        <w:tc>
          <w:tcPr>
            <w:tcW w:w="6960" w:type="dxa"/>
            <w:vAlign w:val="bottom"/>
            <w:gridSpan w:val="6"/>
          </w:tcPr>
          <w:p>
            <w:pPr>
              <w:spacing w:after="0"/>
              <w:rPr>
                <w:sz w:val="17"/>
                <w:szCs w:val="17"/>
                <w:color w:val="auto"/>
              </w:rPr>
            </w:pPr>
          </w:p>
        </w:tc>
      </w:tr>
      <w:tr>
        <w:trPr>
          <w:trHeight w:val="676"/>
        </w:trPr>
        <w:tc>
          <w:tcPr>
            <w:tcW w:w="12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3"/>
          </w:tcPr>
          <w:p>
            <w:pPr>
              <w:ind w:left="4360"/>
              <w:spacing w:after="0"/>
              <w:rPr>
                <w:sz w:val="20"/>
                <w:szCs w:val="20"/>
                <w:color w:val="auto"/>
              </w:rPr>
            </w:pPr>
            <w:r>
              <w:rPr>
                <w:rFonts w:ascii="Arial" w:cs="Arial" w:eastAsia="Arial" w:hAnsi="Arial"/>
                <w:sz w:val="18"/>
                <w:szCs w:val="18"/>
                <w:color w:val="auto"/>
              </w:rPr>
              <w:t>39</w:t>
            </w: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before the effects of the adjustments for the correction of the errors described in Note 17, the accompanying consolidated balance sheet of OptimizeRx Corporation as of December 31, 2013, and the related consolidated statements of operations, stockholders’ equity, and cash flows for the year then ended (the 2013 financial statements before the effects of the adjustments discussed in Note 17 have been withdrawn and are not presented herein). The 2013 financial statements are the responsibility of the Company’s management. Our responsibility is to express an opinion on these financial statements based on our audit.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except for the errors described in Note 17, the consolidated financial statements referred to above present fairly, in all material respects, the financial position of OptimizeRx Corporation as of December 31, 2013, and the results of its operations and cash flows for the year then ended, in conformity with accounting principles generally accepted in the United States of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for the correction of the errors described in Note 17 and, accordingly, do not express an opinion or any other form of assurance about whether such adjustments are appropriate and have been properly applied. Those adjustments were audited by KLJ &amp; Associates, LLP.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981075</wp:posOffset>
            </wp:positionV>
            <wp:extent cx="3439160" cy="823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discussed in Note 17 to the financial statements, errors resulting in an understatement of deferred revenue, liabilities, and stock compensation expense were discovered by management. Accordingly, adjustments have been made to correct the error.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874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3,446,973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2,100,381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930,854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504,643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Security deposit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200,372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1,502,761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120,130</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89"/>
              </w:rPr>
              <w:t>Preferred stock, $.001 par value, 10,000,000 shares authorized, 0 and 65 shares issued and outstanding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93"/>
              </w:rPr>
              <w:t>Common stock, $.001 par value, 500,000,000 shares authorized, 22,867,319 and 14,817,496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outstanding at December 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27,595,609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963,063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(26,124,750)</w:t>
            </w: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(25,099,357)</w:t>
            </w: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FULLY 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4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NET LOSS PER SHARE: BASIC AND DILUTED (no separate per share amount shown because loss is antidilutive)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-4090035</wp:posOffset>
            </wp:positionV>
            <wp:extent cx="7246620" cy="4064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2013 (restated)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January 1,</w:t>
            </w: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14,232,496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$ 20,058,051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6,164,666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(24,832,067)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1,404,882</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2"/>
                <w:szCs w:val="12"/>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consulting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(59,134)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87,278</w:t>
            </w:r>
          </w:p>
        </w:tc>
        <w:tc>
          <w:tcPr>
            <w:tcW w:w="100" w:type="dxa"/>
            <w:vAlign w:val="bottom"/>
          </w:tcPr>
          <w:p>
            <w:pPr>
              <w:spacing w:after="0"/>
              <w:rPr>
                <w:sz w:val="12"/>
                <w:szCs w:val="12"/>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105,420</w:t>
            </w:r>
          </w:p>
        </w:tc>
        <w:tc>
          <w:tcPr>
            <w:tcW w:w="100" w:type="dxa"/>
            <w:vAlign w:val="bottom"/>
          </w:tcPr>
          <w:p>
            <w:pPr>
              <w:spacing w:after="0"/>
              <w:rPr>
                <w:sz w:val="12"/>
                <w:szCs w:val="12"/>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severance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(505,000)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r>
      <w:tr>
        <w:trPr>
          <w:trHeight w:val="130"/>
        </w:trPr>
        <w:tc>
          <w:tcPr>
            <w:tcW w:w="1460" w:type="dxa"/>
            <w:vAlign w:val="bottom"/>
          </w:tcPr>
          <w:p>
            <w:pPr>
              <w:ind w:left="180"/>
              <w:spacing w:after="0" w:line="130" w:lineRule="exact"/>
              <w:rPr>
                <w:sz w:val="20"/>
                <w:szCs w:val="20"/>
                <w:color w:val="auto"/>
              </w:rPr>
            </w:pPr>
            <w:r>
              <w:rPr>
                <w:rFonts w:ascii="Arial" w:cs="Arial" w:eastAsia="Arial" w:hAnsi="Arial"/>
                <w:sz w:val="14"/>
                <w:szCs w:val="14"/>
                <w:color w:val="auto"/>
              </w:rPr>
              <w:t>for correction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ind w:left="180"/>
              <w:spacing w:after="0"/>
              <w:rPr>
                <w:sz w:val="20"/>
                <w:szCs w:val="20"/>
                <w:color w:val="auto"/>
              </w:rPr>
            </w:pPr>
            <w:r>
              <w:rPr>
                <w:rFonts w:ascii="Arial" w:cs="Arial" w:eastAsia="Arial" w:hAnsi="Arial"/>
                <w:sz w:val="14"/>
                <w:szCs w:val="14"/>
                <w:color w:val="auto"/>
              </w:rPr>
              <w:t>prior issue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for</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expired warrants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(1,910,002)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1,910,002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330,192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330,192</w:t>
            </w:r>
          </w:p>
        </w:tc>
        <w:tc>
          <w:tcPr>
            <w:tcW w:w="100" w:type="dxa"/>
            <w:vAlign w:val="bottom"/>
          </w:tcPr>
          <w:p>
            <w:pPr>
              <w:spacing w:after="0"/>
              <w:rPr>
                <w:sz w:val="14"/>
                <w:szCs w:val="14"/>
                <w:color w:val="auto"/>
              </w:rPr>
            </w:pPr>
          </w:p>
        </w:tc>
      </w:tr>
      <w:tr>
        <w:trPr>
          <w:trHeight w:val="182"/>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(267,290)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(267,290)</w:t>
            </w:r>
          </w:p>
        </w:tc>
      </w:tr>
      <w:tr>
        <w:trPr>
          <w:trHeight w:val="103"/>
        </w:trPr>
        <w:tc>
          <w:tcPr>
            <w:tcW w:w="1460" w:type="dxa"/>
            <w:vAlign w:val="bottom"/>
            <w:tcBorders>
              <w:top w:val="single" w:sz="8" w:color="CCEEFF"/>
            </w:tcBorders>
          </w:tcPr>
          <w:p>
            <w:pPr>
              <w:spacing w:after="0" w:line="104" w:lineRule="exact"/>
              <w:rPr>
                <w:sz w:val="20"/>
                <w:szCs w:val="20"/>
                <w:color w:val="auto"/>
              </w:rPr>
            </w:pPr>
            <w:r>
              <w:rPr>
                <w:rFonts w:ascii="Arial" w:cs="Arial" w:eastAsia="Arial" w:hAnsi="Arial"/>
                <w:sz w:val="11"/>
                <w:szCs w:val="11"/>
                <w:color w:val="auto"/>
              </w:rPr>
              <w:t>Balance, December</w:t>
            </w: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4"/>
                <w:szCs w:val="14"/>
                <w:color w:val="auto"/>
              </w:rPr>
              <w:t>31, 2013 (restated)</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14,817,496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14,817</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$ 18,148,049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207" w:lineRule="exact"/>
              <w:rPr>
                <w:sz w:val="20"/>
                <w:szCs w:val="20"/>
                <w:color w:val="auto"/>
              </w:rPr>
            </w:pPr>
            <w:r>
              <w:rPr>
                <w:rFonts w:ascii="Arial" w:cs="Arial" w:eastAsia="Arial" w:hAnsi="Arial"/>
                <w:sz w:val="13"/>
                <w:szCs w:val="13"/>
                <w:color w:val="auto"/>
              </w:rPr>
              <w:t>(270,462</w:t>
            </w:r>
            <w:r>
              <w:rPr>
                <w:rFonts w:ascii="Arial" w:cs="Arial" w:eastAsia="Arial" w:hAnsi="Arial"/>
                <w:sz w:val="24"/>
                <w:szCs w:val="24"/>
                <w:color w:val="auto"/>
                <w:vertAlign w:val="superscript"/>
              </w:rPr>
              <w:t>)</w:t>
            </w:r>
          </w:p>
        </w:tc>
        <w:tc>
          <w:tcPr>
            <w:tcW w:w="1040" w:type="dxa"/>
            <w:vAlign w:val="bottom"/>
            <w:gridSpan w:val="2"/>
          </w:tcPr>
          <w:p>
            <w:pPr>
              <w:jc w:val="right"/>
              <w:ind w:right="180"/>
              <w:spacing w:after="0" w:line="207" w:lineRule="exact"/>
              <w:rPr>
                <w:sz w:val="20"/>
                <w:szCs w:val="20"/>
                <w:color w:val="auto"/>
              </w:rPr>
            </w:pPr>
            <w:r>
              <w:rPr>
                <w:rFonts w:ascii="Arial" w:cs="Arial" w:eastAsia="Arial" w:hAnsi="Arial"/>
                <w:sz w:val="13"/>
                <w:szCs w:val="13"/>
                <w:color w:val="auto"/>
                <w:w w:val="98"/>
              </w:rPr>
              <w:t>$ (25,099,357</w:t>
            </w:r>
            <w:r>
              <w:rPr>
                <w:rFonts w:ascii="Arial" w:cs="Arial" w:eastAsia="Arial" w:hAnsi="Arial"/>
                <w:sz w:val="24"/>
                <w:szCs w:val="24"/>
                <w:color w:val="auto"/>
                <w:w w:val="98"/>
                <w:vertAlign w:val="superscript"/>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1,668,202</w:t>
            </w:r>
          </w:p>
        </w:tc>
        <w:tc>
          <w:tcPr>
            <w:tcW w:w="10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2152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(restated)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14,817,496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18,148,049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(25,099,357)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1,668,202</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272,804</w:t>
            </w: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consultants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(16,935)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cash</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8,408,699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8,795,032</w:t>
            </w:r>
          </w:p>
        </w:tc>
      </w:tr>
      <w:tr>
        <w:trPr>
          <w:trHeight w:val="130"/>
        </w:trPr>
        <w:tc>
          <w:tcPr>
            <w:tcW w:w="1420" w:type="dxa"/>
            <w:vAlign w:val="bottom"/>
          </w:tcPr>
          <w:p>
            <w:pPr>
              <w:ind w:left="180"/>
              <w:spacing w:after="0" w:line="130" w:lineRule="exact"/>
              <w:rPr>
                <w:sz w:val="20"/>
                <w:szCs w:val="20"/>
                <w:color w:val="auto"/>
              </w:rPr>
            </w:pPr>
            <w:r>
              <w:rPr>
                <w:rFonts w:ascii="Arial" w:cs="Arial" w:eastAsia="Arial" w:hAnsi="Arial"/>
                <w:sz w:val="14"/>
                <w:szCs w:val="14"/>
                <w:color w:val="auto"/>
              </w:rPr>
              <w:t>for warrant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ind w:left="180"/>
              <w:spacing w:after="0"/>
              <w:rPr>
                <w:sz w:val="20"/>
                <w:szCs w:val="20"/>
                <w:color w:val="auto"/>
              </w:rPr>
            </w:pPr>
            <w:r>
              <w:rPr>
                <w:rFonts w:ascii="Arial" w:cs="Arial" w:eastAsia="Arial" w:hAnsi="Arial"/>
                <w:sz w:val="14"/>
                <w:szCs w:val="14"/>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693,687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Issue warrants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equity raise</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1,110,211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(1,110,211)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Issue stock rights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officers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Reclassify expired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redeemed</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(16,410,832)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16,410,832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287,397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287,397</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 shares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(5,999,104)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(6,000,000)</w:t>
            </w:r>
          </w:p>
        </w:tc>
      </w:tr>
      <w:tr>
        <w:trPr>
          <w:trHeight w:val="169"/>
        </w:trPr>
        <w:tc>
          <w:tcPr>
            <w:tcW w:w="1420" w:type="dxa"/>
            <w:vAlign w:val="bottom"/>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(1,025,393)</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(1,025,393)</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5"/>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22,867,319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2,153,295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27,595,609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207" w:lineRule="exact"/>
              <w:rPr>
                <w:sz w:val="20"/>
                <w:szCs w:val="20"/>
                <w:color w:val="auto"/>
              </w:rPr>
            </w:pPr>
            <w:r>
              <w:rPr>
                <w:rFonts w:ascii="Arial" w:cs="Arial" w:eastAsia="Arial" w:hAnsi="Arial"/>
                <w:sz w:val="13"/>
                <w:szCs w:val="13"/>
                <w:color w:val="auto"/>
                <w:w w:val="98"/>
              </w:rPr>
              <w:t>$ (26,124,750</w:t>
            </w:r>
            <w:r>
              <w:rPr>
                <w:rFonts w:ascii="Arial" w:cs="Arial" w:eastAsia="Arial" w:hAnsi="Arial"/>
                <w:sz w:val="24"/>
                <w:szCs w:val="24"/>
                <w:color w:val="auto"/>
                <w:w w:val="98"/>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4,610,084</w:t>
            </w: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2907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899,438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134,046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8,795,032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240" w:type="dxa"/>
            <w:vAlign w:val="bottom"/>
          </w:tcPr>
          <w:p>
            <w:pPr>
              <w:ind w:left="42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833,980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246620" cy="5608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 care industry. Our objective is to bring better access to better care through connecting patients, physicians and pharmaceutical manufacturers through technology. Originally defined as a marketing and advertising company through our consumer website, we have matured into a technology solutions provider as we launched our direct to physician solution, SampleMD. SampleMD allows physicians to search, print and send available sample trial vouchers and/or co-pay coupons on behalf of their patients. The SampleMD solution is integrated into the physician’s ePrescribing or Electronic Medical Records applications, but could also be a stand-alone desktop application. OptimizeRx solutions provide pharmaceutical manufacturers a direct to physician channel for communicating and promoting their products. It provides health 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incorporated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which is a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 capitalized companies, historically there has been very little bad debt expense. Bad debt expense was $0 for each of the years ended December 31, 2014 and 2013. The allowance for doubtful accounts was $0 as of both December 31,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capital assets are being depreciated over their estimated useful lives of three to seven years using the straight-line method of depreciation for book purposes.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generated from our SampleMD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setup fees that are required for integrating client offerings and campaigns into the SampleMD content delivery system and network upon completion of the setup and launch of the client’s campaign within the SampleMD system. As the eCoupons and or eVouchers are distributed through the SampleMD platform and network of channel partners (a transaction), these transactions are recorded and revenue is recognized at the time of distribution. Revenue for transactions can be realized based on a price per distribution or a price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on occasion has also resold products and or services that are available through our channel partners, and that is complementary to our core businesses and client base. In these instances net revenue is recognized based on the commission based revenue split that the company receives.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revenues generated or $0.37 per eCoupon distributed.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expenses research and development expenses as incurred. Our research efforts are focused on understanding the market dynamics that have the potential to affect the business in both the short and long term. Our primary goal is to help patients better afford and access the medicines their doctor prescribes, as well as other healthcare products and services they need. Based on this, the Company continually seeks better ways to meet this mission through improved technology, better user experiences and new ways to engage industries to provide new support for patients needing their products, as well seeking new services and solutions to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 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0.90%-1.44%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 years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 - 138%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 - 171%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30,607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771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$5,933 and $5,628 for the years ended December 31, 2014 and 2013,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602,517</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904,710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(440,641)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3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504,643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404,986</w:t>
            </w:r>
          </w:p>
        </w:tc>
        <w:tc>
          <w:tcPr>
            <w:tcW w:w="0" w:type="dxa"/>
            <w:vAlign w:val="bottom"/>
          </w:tcPr>
          <w:p>
            <w:pPr>
              <w:spacing w:after="0"/>
              <w:rPr>
                <w:sz w:val="1"/>
                <w:szCs w:val="1"/>
                <w:color w:val="auto"/>
              </w:rPr>
            </w:pPr>
          </w:p>
        </w:tc>
      </w:tr>
      <w:tr>
        <w:trPr>
          <w:trHeight w:val="21"/>
        </w:trPr>
        <w:tc>
          <w:tcPr>
            <w:tcW w:w="5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09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The OptimizeRx web-based technology was fully impaired in 2010 and has no remaining carrying value. Amortization expense for the web-based technology costs was $192,760 and $130,289 for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26, 2010, the Company acquired the technical contributions and assignment of all exclusive rights to and for the SampleMD patent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2014 and 2013: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(260,285)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(194,638)</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930,854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885,950</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246620" cy="909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$65,647 and $57,874 for the years ended December 31, 2014 and 2013,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or redemption of coupons, or other services, which include payment in advance. The payments are not recorded as revenue until the revenue is earned under its revenue recognition policy discussed in Note 1. Deferred revenue was $120,130 and $226,272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2014. There were 22,867,319 and 14,817,496 common shares issued and outstanding at December 31, 2014 and 2013,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 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the former CEO of the Company. The Company agreed to issue 500,000 shares of common stock, 250,000 shares immediately and 250,000 by January 1, 2014. The shares have been issued and the Company recognized the entire issuance in the December 31, 2013 shares outstanding. The shares were valued at $505,000 and $174,808 of that amount remained as deferred stock compensation as of December 31, 2013, but has been fully amortized to expenses as of December 31, 2014.</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an executive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the Company adopted a Director Compensation plan for outside Directors. In connection with this plan, 19,565 shares were granted with a total value of $23,166. A total of 7,065 shares were issued in 2014 and 12,500 shares were included in stock payable at December 31, 2014 and issued in January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10, all of the Series A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and approved by the shareholders of the Company in June 2013. A total of 1,500,000 shares were initially reserved for issuance under the plan, of which 552,500 options have been granted, 537,500 shares have been granted, and 410,000 remain available for grant.</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2014 and 2013, was $272,804 and $94,998,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NOTE 11 – STOCK OPTIONS AND WARRANTS (continued)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2014 and 2013: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Expired – 2013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8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494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primarily in connection with capital raising activities.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jc w:val="right"/>
              <w:ind w:right="1200"/>
              <w:spacing w:after="0"/>
              <w:rPr>
                <w:sz w:val="20"/>
                <w:szCs w:val="20"/>
                <w:color w:val="auto"/>
              </w:rPr>
            </w:pPr>
            <w:r>
              <w:rPr>
                <w:rFonts w:ascii="Arial" w:cs="Arial" w:eastAsia="Arial" w:hAnsi="Arial"/>
                <w:sz w:val="18"/>
                <w:szCs w:val="18"/>
                <w:color w:val="auto"/>
              </w:rPr>
              <w:t>Number of Warrants</w:t>
            </w:r>
          </w:p>
        </w:tc>
        <w:tc>
          <w:tcPr>
            <w:tcW w:w="140" w:type="dxa"/>
            <w:vAlign w:val="bottom"/>
          </w:tcPr>
          <w:p>
            <w:pPr>
              <w:spacing w:after="0"/>
              <w:rPr>
                <w:sz w:val="20"/>
                <w:szCs w:val="20"/>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Exercise Price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10/5/2017</w:t>
            </w:r>
          </w:p>
        </w:tc>
      </w:tr>
      <w:tr>
        <w:trPr>
          <w:trHeight w:val="216"/>
        </w:trPr>
        <w:tc>
          <w:tcPr>
            <w:tcW w:w="3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640" w:type="dxa"/>
            <w:vAlign w:val="bottom"/>
          </w:tcPr>
          <w:p>
            <w:pPr>
              <w:jc w:val="right"/>
              <w:ind w:right="1310"/>
              <w:spacing w:after="0"/>
              <w:rPr>
                <w:sz w:val="20"/>
                <w:szCs w:val="20"/>
                <w:color w:val="auto"/>
              </w:rPr>
            </w:pPr>
            <w:r>
              <w:rPr>
                <w:rFonts w:ascii="Arial" w:cs="Arial" w:eastAsia="Arial" w:hAnsi="Arial"/>
                <w:sz w:val="18"/>
                <w:szCs w:val="18"/>
                <w:color w:val="auto"/>
              </w:rPr>
              <w:t>2/17/2016</w:t>
            </w: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804,139</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57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 activity during the years ended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Outstanding, January 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12,277,000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18"/>
                <w:szCs w:val="18"/>
                <w:color w:val="auto"/>
              </w:rPr>
              <w:t>Expired – 2013</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(527,000)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Balance, December 31,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2014</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804,139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Cancelled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Expired – 2014</w:t>
            </w:r>
          </w:p>
        </w:tc>
        <w:tc>
          <w:tcPr>
            <w:tcW w:w="49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Balance, December 31, 2014</w:t>
            </w: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vMerge w:val="continue"/>
          </w:tcPr>
          <w:p>
            <w:pPr>
              <w:spacing w:after="0"/>
              <w:rPr>
                <w:sz w:val="21"/>
                <w:szCs w:val="21"/>
                <w:color w:val="auto"/>
              </w:rPr>
            </w:pPr>
          </w:p>
        </w:tc>
        <w:tc>
          <w:tcPr>
            <w:tcW w:w="49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1,854,139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62,418</w:t>
            </w:r>
          </w:p>
        </w:tc>
      </w:tr>
      <w:tr>
        <w:trPr>
          <w:trHeight w:val="251"/>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NOTE 14 – MAJOR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spacing w:after="0"/>
              <w:rPr>
                <w:sz w:val="20"/>
                <w:szCs w:val="20"/>
                <w:color w:val="auto"/>
              </w:rPr>
            </w:pPr>
            <w:r>
              <w:rPr>
                <w:rFonts w:ascii="Arial" w:cs="Arial" w:eastAsia="Arial" w:hAnsi="Arial"/>
                <w:sz w:val="18"/>
                <w:szCs w:val="18"/>
                <w:color w:val="auto"/>
                <w:w w:val="92"/>
              </w:rPr>
              <w:t>The Company had the following major customers that individually accounted for 10% or more of revenue in any one of the years presented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1,776,824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B</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797,972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1,053,321</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644,702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278,499</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 other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2,389,163</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1,193,587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6,502,962</w:t>
            </w:r>
          </w:p>
        </w:tc>
        <w:tc>
          <w:tcPr>
            <w:tcW w:w="120" w:type="dxa"/>
            <w:vAlign w:val="bottom"/>
          </w:tcPr>
          <w:p>
            <w:pPr>
              <w:spacing w:after="0"/>
              <w:rPr>
                <w:sz w:val="22"/>
                <w:szCs w:val="22"/>
                <w:color w:val="auto"/>
              </w:rPr>
            </w:pPr>
          </w:p>
        </w:tc>
        <w:tc>
          <w:tcPr>
            <w:tcW w:w="130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4,679,741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1329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 forwards of approximately $8.8 million that expire from 2027 through 2034 that are available to offset future taxable income. The Company was formed in 2006 as a limited liability company and incorporated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2014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(2,982,000)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(2,793,000)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the Company to distribute its eCoupon programs in the LDM network, not allowing the Company to distribute the LDM patient education programs, and not providing other information required under the settlement agreement. The Company is seeking enforcement of the settlement agreement and is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the Company’s eCoupon solution. The Company asserts that PDR’s acquisition of LDM and the use of the LDM network to distribute coupons by PDR violates the agreement between the parties and is seeking damages in an amount at least equal the amounts paid to date by the Company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2014 the Company learned that Mr. Milton Wilpon (“Mr. Wilpon”) of New Jersey claimed to have obtained a default judgment for approximately $929,000 in the New Jersey Superior Court, Essex County (the “Judgment”) against a predecessor of the Company and was seeking to amend the Judgment to add the Company as a judgment debtor. The Judgment was entered in 2006 when the predecessor of the Company was a dormant shell company and the Judgment allegedly related to a settlement agreement that was breached in 2001 (the “Settlement Agreement”). The Company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the Company’s motion and vacated the Judgment in its entirety and dismissed the action.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the Company was served with a copy of a Demand for Arbitration filed by Mr. Wilpon relating to his claims under the Settlement Agreement. On February 24, 2015, the Company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The Company intends vigorously to oppose Mr. Wilpon’s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discovered and recorded items requiring it to restate its 2013 financial results, as well as its 2014 quarterly results, to correct the accounting for certain transactions contained therein.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were restated in the 2013 Annual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Balance Sheet</w:t>
            </w:r>
          </w:p>
        </w:tc>
        <w:tc>
          <w:tcPr>
            <w:tcW w:w="13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87"/>
              </w:rPr>
              <w:t>Previously stated</w:t>
            </w:r>
          </w:p>
        </w:tc>
        <w:tc>
          <w:tcPr>
            <w:tcW w:w="280" w:type="dxa"/>
            <w:vAlign w:val="bottom"/>
          </w:tcPr>
          <w:p>
            <w:pPr>
              <w:spacing w:after="0"/>
              <w:rPr>
                <w:sz w:val="21"/>
                <w:szCs w:val="21"/>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1"/>
                <w:szCs w:val="21"/>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0"/>
        </w:trPr>
        <w:tc>
          <w:tcPr>
            <w:tcW w:w="4560" w:type="dxa"/>
            <w:vAlign w:val="bottom"/>
            <w:gridSpan w:val="7"/>
            <w:vMerge w:val="restart"/>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60" w:type="dxa"/>
            <w:vAlign w:val="bottom"/>
            <w:gridSpan w:val="7"/>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1,566,964</w:t>
            </w:r>
          </w:p>
        </w:tc>
        <w:tc>
          <w:tcPr>
            <w:tcW w:w="700" w:type="dxa"/>
            <w:vAlign w:val="bottom"/>
            <w:vMerge w:val="continue"/>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(55,255)</w:t>
            </w:r>
          </w:p>
        </w:tc>
        <w:tc>
          <w:tcPr>
            <w:tcW w:w="680" w:type="dxa"/>
            <w:vAlign w:val="bottom"/>
            <w:vMerge w:val="continue"/>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1,511,709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1,193,661</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1,287,552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226,272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Additional paid in capital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8,726,708</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148,477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8,875,155</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stock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(233,942)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Accumulated deficit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(24,616,220)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(25,099,357)</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10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4,957,016</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(277,275)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1,767,425</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2,973,990</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111,701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3,085,691</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780" w:type="dxa"/>
            <w:vAlign w:val="bottom"/>
            <w:gridSpan w:val="6"/>
          </w:tcPr>
          <w:p>
            <w:pPr>
              <w:jc w:val="center"/>
              <w:ind w:right="980"/>
              <w:spacing w:after="0"/>
              <w:rPr>
                <w:sz w:val="20"/>
                <w:szCs w:val="20"/>
                <w:color w:val="auto"/>
              </w:rPr>
            </w:pPr>
            <w:r>
              <w:rPr>
                <w:rFonts w:ascii="Arial" w:cs="Arial" w:eastAsia="Arial" w:hAnsi="Arial"/>
                <w:sz w:val="18"/>
                <w:szCs w:val="18"/>
                <w:color w:val="auto"/>
                <w:w w:val="89"/>
              </w:rPr>
              <w:t>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 options issued for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19,547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75,451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399,092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accounts receivable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(950,166)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55,255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1,103,084</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655"/>
        </w:trPr>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F-22</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tables show the effect of the restatement on the unaudited quarterly information previously filed.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September 30, 2013 (unaudited):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9"/>
          </w:tcPr>
          <w:p>
            <w:pPr>
              <w:jc w:val="center"/>
              <w:ind w:right="840"/>
              <w:spacing w:after="0" w:line="203" w:lineRule="exact"/>
              <w:rPr>
                <w:sz w:val="20"/>
                <w:szCs w:val="20"/>
                <w:color w:val="auto"/>
              </w:rPr>
            </w:pPr>
            <w:r>
              <w:rPr>
                <w:rFonts w:ascii="Arial" w:cs="Arial" w:eastAsia="Arial" w:hAnsi="Arial"/>
                <w:sz w:val="18"/>
                <w:szCs w:val="18"/>
                <w:color w:val="auto"/>
                <w:w w:val="88"/>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811,278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161,132</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8,449,271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8,597,748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(233,077)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(287,857)</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(24,870,854)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(25,141,061)</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gridSpan w:val="4"/>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1990"/>
              <w:spacing w:after="0"/>
              <w:rPr>
                <w:sz w:val="20"/>
                <w:szCs w:val="20"/>
                <w:color w:val="auto"/>
              </w:rPr>
            </w:pPr>
            <w:r>
              <w:rPr>
                <w:rFonts w:ascii="Arial" w:cs="Arial" w:eastAsia="Arial" w:hAnsi="Arial"/>
                <w:sz w:val="18"/>
                <w:szCs w:val="18"/>
                <w:color w:val="auto"/>
                <w:w w:val="89"/>
              </w:rPr>
              <w:t>Three Months ended September 30, 2013</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1,373,029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1,225,169</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529,134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557,510</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982,504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1,076,475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(141,527)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(411,734)</w:t>
            </w:r>
          </w:p>
        </w:tc>
      </w:tr>
      <w:tr>
        <w:trPr>
          <w:trHeight w:val="216"/>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90"/>
              </w:rPr>
              <w:t>Nine Months ended September 30, 2013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3,146,406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2,998,546</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1,264,059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1,292,435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2,272,239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2,366,210</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392"/>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60" w:type="dxa"/>
            <w:vAlign w:val="bottom"/>
            <w:gridSpan w:val="3"/>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310,823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404,794</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678,201</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111,880</w:t>
            </w:r>
          </w:p>
        </w:tc>
      </w:tr>
      <w:tr>
        <w:trPr>
          <w:trHeight w:val="432"/>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March 31, 2014 (unaudited):</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8"/>
          </w:tcPr>
          <w:p>
            <w:pPr>
              <w:jc w:val="center"/>
              <w:ind w:right="1040"/>
              <w:spacing w:after="0" w:line="203" w:lineRule="exact"/>
              <w:rPr>
                <w:sz w:val="20"/>
                <w:szCs w:val="20"/>
                <w:color w:val="auto"/>
              </w:rPr>
            </w:pPr>
            <w:r>
              <w:rPr>
                <w:rFonts w:ascii="Arial" w:cs="Arial" w:eastAsia="Arial" w:hAnsi="Arial"/>
                <w:sz w:val="18"/>
                <w:szCs w:val="18"/>
                <w:color w:val="auto"/>
                <w:w w:val="87"/>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4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797,725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167,880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965,605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268,807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437,521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27,155,730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27,304,207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(454,409)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(472,669)</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(25,269,535)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(591,917)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(25,861,452)</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2090"/>
              <w:spacing w:after="0"/>
              <w:rPr>
                <w:sz w:val="20"/>
                <w:szCs w:val="20"/>
                <w:color w:val="auto"/>
              </w:rPr>
            </w:pPr>
            <w:r>
              <w:rPr>
                <w:rFonts w:ascii="Arial" w:cs="Arial" w:eastAsia="Arial" w:hAnsi="Arial"/>
                <w:sz w:val="18"/>
                <w:szCs w:val="18"/>
                <w:color w:val="auto"/>
                <w:w w:val="90"/>
              </w:rPr>
              <w:t>Three Months ended March 31, 2014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1,289,428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1,489,858</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ind w:right="66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380,217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(395,935)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(333,334)</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192,381</w:t>
            </w:r>
          </w:p>
        </w:tc>
      </w:tr>
      <w:tr>
        <w:trPr>
          <w:trHeight w:val="655"/>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color w:val="auto"/>
              </w:rPr>
              <w:t>F-23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7"/>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eriod Ended June 30, 2014 (unaudited):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506,901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872,989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258,270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301,178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27,304,112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27,388,789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(25,322,216)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26,060,890)</w:t>
            </w:r>
          </w:p>
        </w:tc>
      </w:tr>
      <w:tr>
        <w:trPr>
          <w:trHeight w:val="392"/>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June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1,454,214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1,427,008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190,092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730,140</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967,070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896,529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(146,757)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(199,438)</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Six Months ended June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2,771,560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2,716,436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1,038,858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1,291,551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2,439,028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2,386,747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654,634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602,353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(434,067)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93,780</w:t>
            </w:r>
          </w:p>
        </w:tc>
      </w:tr>
      <w:tr>
        <w:trPr>
          <w:trHeight w:val="432"/>
        </w:trPr>
        <w:tc>
          <w:tcPr>
            <w:tcW w:w="7660" w:type="dxa"/>
            <w:vAlign w:val="bottom"/>
            <w:gridSpan w:val="7"/>
          </w:tcPr>
          <w:p>
            <w:pPr>
              <w:spacing w:after="0"/>
              <w:rPr>
                <w:sz w:val="20"/>
                <w:szCs w:val="20"/>
                <w:color w:val="auto"/>
              </w:rPr>
            </w:pPr>
            <w:r>
              <w:rPr>
                <w:rFonts w:ascii="Arial" w:cs="Arial" w:eastAsia="Arial" w:hAnsi="Arial"/>
                <w:sz w:val="18"/>
                <w:szCs w:val="18"/>
                <w:color w:val="auto"/>
              </w:rPr>
              <w:t>Period Ended September 30, 2014(unaudited):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853,410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421,019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1,274,429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118,949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28,398,825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28,483,502</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(25,716,530)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(26,355,433)</w:t>
            </w:r>
          </w:p>
        </w:tc>
      </w:tr>
      <w:tr>
        <w:trPr>
          <w:trHeight w:val="60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September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1,620,215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1,819,421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858,898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99,435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958,,333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1,155,933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1,155,933</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(394,314)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(294,543)</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Nine Months ended September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4,535,857</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1,897,757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2,249,884</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3,594,961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3,542,681</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(1,066,672)</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(340,251)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11,876</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issued 12,500 shares of common stock to two outside directors as payment of their quarterly Director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2014 through the date these financial statements were issued and has determined that it does not have any material subsequent events to disclose in these financial statements other than the events described above.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221"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2014, Silberstein Ungar, PLLC notified us that its principals joined the accounting firm of KLJ &amp; Associates, LLP. As a result of the transaction, on July 25, 2014, Silberstein Ungar, PLLC resigned as our independent registered public accounting firm and we engaged KLJ &amp; Associates, LLP as our independent registered public accounting firm.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980" w:type="dxa"/>
            <w:vAlign w:val="bottom"/>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15,127.50</w:t>
            </w:r>
          </w:p>
        </w:tc>
        <w:tc>
          <w:tcPr>
            <w:tcW w:w="0" w:type="dxa"/>
            <w:vAlign w:val="bottom"/>
          </w:tcPr>
          <w:p>
            <w:pPr>
              <w:spacing w:after="0"/>
              <w:rPr>
                <w:sz w:val="1"/>
                <w:szCs w:val="1"/>
                <w:color w:val="auto"/>
              </w:rPr>
            </w:pP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 Estimates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917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54" w:lineRule="exact"/>
        <w:rPr>
          <w:sz w:val="20"/>
          <w:szCs w:val="20"/>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4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665"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29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5176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ind w:left="120"/>
        <w:spacing w:after="0" w:line="180"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ind w:left="120"/>
        <w:spacing w:after="0" w:line="206" w:lineRule="auto"/>
        <w:rPr>
          <w:sz w:val="20"/>
          <w:szCs w:val="20"/>
          <w:color w:val="auto"/>
        </w:rPr>
      </w:pPr>
      <w:r>
        <w:rPr>
          <w:rFonts w:ascii="Arial" w:cs="Arial" w:eastAsia="Arial" w:hAnsi="Arial"/>
          <w:sz w:val="16"/>
          <w:szCs w:val="16"/>
          <w:color w:val="auto"/>
        </w:rPr>
        <w:t>Certificate of Designation, filed on September 5, 2008, with the Secretary of State of the State of Nevada by the Company</w:t>
      </w:r>
      <w:r>
        <w:rPr>
          <w:rFonts w:ascii="Arial" w:cs="Arial" w:eastAsia="Arial" w:hAnsi="Arial"/>
          <w:sz w:val="26"/>
          <w:szCs w:val="26"/>
          <w:color w:val="auto"/>
          <w:vertAlign w:val="superscript"/>
        </w:rPr>
        <w:t>1</w:t>
      </w:r>
    </w:p>
    <w:p>
      <w:pPr>
        <w:ind w:left="120"/>
        <w:spacing w:after="0"/>
        <w:rPr>
          <w:sz w:val="20"/>
          <w:szCs w:val="20"/>
          <w:color w:val="auto"/>
        </w:rPr>
      </w:pPr>
      <w:r>
        <w:rPr>
          <w:rFonts w:ascii="Arial" w:cs="Arial" w:eastAsia="Arial" w:hAnsi="Arial"/>
          <w:sz w:val="18"/>
          <w:szCs w:val="18"/>
          <w:color w:val="auto"/>
        </w:rPr>
        <w:t>Opinion of The Doney Law Firm, with consent to use</w:t>
      </w:r>
    </w:p>
    <w:p>
      <w:pPr>
        <w:ind w:left="120"/>
        <w:spacing w:after="0" w:line="213" w:lineRule="auto"/>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30"/>
          <w:szCs w:val="30"/>
          <w:color w:val="auto"/>
          <w:vertAlign w:val="superscript"/>
        </w:rPr>
        <w:t>2</w:t>
      </w:r>
    </w:p>
    <w:p>
      <w:pPr>
        <w:ind w:left="120"/>
        <w:spacing w:after="0" w:line="184" w:lineRule="auto"/>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4"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0" w:lineRule="auto"/>
        <w:rPr>
          <w:sz w:val="20"/>
          <w:szCs w:val="20"/>
          <w:color w:val="auto"/>
        </w:rPr>
      </w:pPr>
      <w:r>
        <w:rPr>
          <w:rFonts w:ascii="Arial" w:cs="Arial" w:eastAsia="Arial" w:hAnsi="Arial"/>
          <w:sz w:val="16"/>
          <w:szCs w:val="16"/>
          <w:color w:val="auto"/>
        </w:rPr>
        <w:t>Employment Agreement, dated January 14, 2013</w:t>
      </w:r>
      <w:r>
        <w:rPr>
          <w:rFonts w:ascii="Arial" w:cs="Arial" w:eastAsia="Arial" w:hAnsi="Arial"/>
          <w:sz w:val="25"/>
          <w:szCs w:val="25"/>
          <w:color w:val="auto"/>
          <w:vertAlign w:val="superscript"/>
        </w:rPr>
        <w:t>4</w:t>
      </w:r>
    </w:p>
    <w:p>
      <w:pPr>
        <w:ind w:left="120"/>
        <w:spacing w:after="0" w:line="207"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30"/>
          <w:szCs w:val="30"/>
          <w:color w:val="auto"/>
          <w:vertAlign w:val="superscript"/>
        </w:rPr>
        <w:t>5</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4"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p>
      <w:pPr>
        <w:ind w:left="120"/>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p>
      <w:pPr>
        <w:ind w:left="120"/>
        <w:spacing w:after="0" w:line="181" w:lineRule="auto"/>
        <w:rPr>
          <w:sz w:val="20"/>
          <w:szCs w:val="20"/>
          <w:color w:val="auto"/>
        </w:rPr>
      </w:pPr>
      <w:r>
        <w:rPr>
          <w:rFonts w:ascii="Arial" w:cs="Arial" w:eastAsia="Arial" w:hAnsi="Arial"/>
          <w:sz w:val="16"/>
          <w:szCs w:val="16"/>
          <w:color w:val="auto"/>
        </w:rPr>
        <w:t>Securities Purchase Agreement</w:t>
      </w:r>
      <w:r>
        <w:rPr>
          <w:rFonts w:ascii="Arial" w:cs="Arial" w:eastAsia="Arial" w:hAnsi="Arial"/>
          <w:sz w:val="25"/>
          <w:szCs w:val="25"/>
          <w:color w:val="auto"/>
          <w:vertAlign w:val="superscript"/>
        </w:rPr>
        <w:t>9</w:t>
      </w:r>
    </w:p>
    <w:p>
      <w:pPr>
        <w:ind w:left="120"/>
        <w:spacing w:after="0" w:line="206"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30"/>
          <w:szCs w:val="30"/>
          <w:color w:val="auto"/>
          <w:vertAlign w:val="superscript"/>
        </w:rPr>
        <w:t>9</w:t>
      </w:r>
    </w:p>
    <w:p>
      <w:pPr>
        <w:ind w:left="120"/>
        <w:spacing w:after="0" w:line="185"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10</w:t>
      </w:r>
    </w:p>
    <w:p>
      <w:pPr>
        <w:ind w:left="120"/>
        <w:spacing w:after="0" w:line="180" w:lineRule="auto"/>
        <w:rPr>
          <w:sz w:val="20"/>
          <w:szCs w:val="20"/>
          <w:color w:val="auto"/>
        </w:rPr>
      </w:pPr>
      <w:r>
        <w:rPr>
          <w:rFonts w:ascii="Arial" w:cs="Arial" w:eastAsia="Arial" w:hAnsi="Arial"/>
          <w:sz w:val="16"/>
          <w:szCs w:val="16"/>
          <w:color w:val="auto"/>
        </w:rPr>
        <w:t>Warrant Agreement</w:t>
      </w:r>
      <w:r>
        <w:rPr>
          <w:rFonts w:ascii="Arial" w:cs="Arial" w:eastAsia="Arial" w:hAnsi="Arial"/>
          <w:sz w:val="25"/>
          <w:szCs w:val="25"/>
          <w:color w:val="auto"/>
          <w:vertAlign w:val="superscript"/>
        </w:rPr>
        <w:t>10</w:t>
      </w:r>
    </w:p>
    <w:p>
      <w:pPr>
        <w:ind w:left="120"/>
        <w:spacing w:after="0" w:line="185" w:lineRule="auto"/>
        <w:rPr>
          <w:sz w:val="20"/>
          <w:szCs w:val="20"/>
          <w:color w:val="auto"/>
        </w:rPr>
      </w:pPr>
      <w:r>
        <w:rPr>
          <w:rFonts w:ascii="Arial" w:cs="Arial" w:eastAsia="Arial" w:hAnsi="Arial"/>
          <w:sz w:val="18"/>
          <w:szCs w:val="18"/>
          <w:color w:val="auto"/>
        </w:rPr>
        <w:t>Employment Agreement, dated May 12, 2014</w:t>
      </w:r>
      <w:r>
        <w:rPr>
          <w:rFonts w:ascii="Arial" w:cs="Arial" w:eastAsia="Arial" w:hAnsi="Arial"/>
          <w:sz w:val="29"/>
          <w:szCs w:val="29"/>
          <w:color w:val="auto"/>
          <w:vertAlign w:val="superscript"/>
        </w:rPr>
        <w:t>11</w:t>
      </w:r>
    </w:p>
    <w:p>
      <w:pPr>
        <w:ind w:left="120"/>
        <w:spacing w:after="0" w:line="185"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p>
      <w:pPr>
        <w:spacing w:after="0" w:line="1" w:lineRule="exact"/>
        <w:rPr>
          <w:sz w:val="20"/>
          <w:szCs w:val="20"/>
          <w:color w:val="auto"/>
        </w:rPr>
      </w:pPr>
    </w:p>
    <w:p>
      <w:pPr>
        <w:ind w:left="120" w:right="3860"/>
        <w:spacing w:after="0" w:line="339" w:lineRule="auto"/>
        <w:rPr>
          <w:sz w:val="20"/>
          <w:szCs w:val="20"/>
          <w:color w:val="auto"/>
        </w:rPr>
      </w:pPr>
      <w:r>
        <w:rPr>
          <w:rFonts w:ascii="Arial" w:cs="Arial" w:eastAsia="Arial" w:hAnsi="Arial"/>
          <w:sz w:val="16"/>
          <w:szCs w:val="16"/>
          <w:color w:val="auto"/>
        </w:rPr>
        <w:t>Consent of KLJ &amp; Associates, LLP, an Independent Registered Public Accounting Firm Consent of Silberstein Ungar, PLLC, an Independent Registered Public Accounting Firm</w:t>
      </w:r>
    </w:p>
    <w:p>
      <w:pPr>
        <w:spacing w:after="0" w:line="200" w:lineRule="exact"/>
        <w:rPr>
          <w:sz w:val="20"/>
          <w:szCs w:val="20"/>
          <w:color w:val="auto"/>
        </w:rPr>
      </w:pPr>
    </w:p>
    <w:p>
      <w:pPr>
        <w:sectPr>
          <w:pgSz w:w="11900" w:h="16838" w:orient="portrait"/>
          <w:cols w:equalWidth="0" w:num="2">
            <w:col w:w="640" w:space="400"/>
            <w:col w:w="10380"/>
          </w:cols>
          <w:pgMar w:left="240" w:top="665" w:right="239" w:bottom="1440" w:gutter="0" w:footer="0" w:header="0"/>
          <w:type w:val="continuous"/>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70" w:name="page71"/>
    <w:bookmarkEnd w:id="70"/>
    <w:p>
      <w:pPr>
        <w:ind w:left="580" w:hanging="572"/>
        <w:spacing w:after="0"/>
        <w:tabs>
          <w:tab w:leader="none" w:pos="58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ind w:left="580" w:hanging="572"/>
        <w:spacing w:after="0" w:line="180" w:lineRule="auto"/>
        <w:tabs>
          <w:tab w:leader="none" w:pos="58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31, 2010.</w:t>
      </w:r>
    </w:p>
    <w:p>
      <w:pPr>
        <w:ind w:left="580" w:hanging="572"/>
        <w:spacing w:after="0" w:line="180" w:lineRule="auto"/>
        <w:tabs>
          <w:tab w:leader="none" w:pos="58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30, 2010.</w:t>
      </w:r>
    </w:p>
    <w:p>
      <w:pPr>
        <w:ind w:left="580" w:hanging="572"/>
        <w:spacing w:after="0" w:line="181" w:lineRule="auto"/>
        <w:tabs>
          <w:tab w:leader="none" w:pos="58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18, 2013.</w:t>
      </w:r>
    </w:p>
    <w:p>
      <w:pPr>
        <w:ind w:left="580" w:hanging="572"/>
        <w:spacing w:after="0" w:line="180" w:lineRule="auto"/>
        <w:tabs>
          <w:tab w:leader="none" w:pos="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ind w:left="580" w:hanging="572"/>
        <w:spacing w:after="0" w:line="181" w:lineRule="auto"/>
        <w:tabs>
          <w:tab w:leader="none" w:pos="58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August 15, 2013.</w:t>
      </w:r>
    </w:p>
    <w:p>
      <w:pPr>
        <w:ind w:left="580" w:hanging="572"/>
        <w:spacing w:after="0" w:line="180" w:lineRule="auto"/>
        <w:tabs>
          <w:tab w:leader="none" w:pos="58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580" w:hanging="572"/>
        <w:spacing w:after="0" w:line="180" w:lineRule="auto"/>
        <w:tabs>
          <w:tab w:leader="none" w:pos="58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2, 2014.</w:t>
      </w:r>
    </w:p>
    <w:p>
      <w:pPr>
        <w:ind w:left="580" w:hanging="572"/>
        <w:spacing w:after="0" w:line="181" w:lineRule="auto"/>
        <w:tabs>
          <w:tab w:leader="none" w:pos="58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580" w:hanging="572"/>
        <w:spacing w:after="0" w:line="180" w:lineRule="auto"/>
        <w:tabs>
          <w:tab w:leader="none" w:pos="58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May 14, 2014.</w:t>
      </w:r>
    </w:p>
    <w:p>
      <w:pPr>
        <w:spacing w:after="0" w:line="19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7" w:right="239" w:bottom="1440" w:gutter="0" w:footer="0" w:header="0"/>
        </w:sectPr>
      </w:pPr>
    </w:p>
    <w:bookmarkStart w:id="71" w:name="page72"/>
    <w:bookmarkEnd w:id="71"/>
    <w:p>
      <w:pPr>
        <w:jc w:val="both"/>
        <w:ind w:left="-20" w:firstLine="449"/>
        <w:spacing w:after="0" w:line="272" w:lineRule="auto"/>
        <w:tabs>
          <w:tab w:leader="none" w:pos="67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left="-20" w:firstLine="449"/>
        <w:spacing w:after="0" w:line="271" w:lineRule="auto"/>
        <w:tabs>
          <w:tab w:leader="none" w:pos="67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88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May 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Principal Executive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7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5"/>
              </w:rPr>
              <w:t>Chief Executive Officer, Principal Executive Officer</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May 1, 2015</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Lester</w:t>
            </w:r>
          </w:p>
        </w:tc>
      </w:tr>
      <w:tr>
        <w:trPr>
          <w:trHeight w:val="202"/>
        </w:trPr>
        <w:tc>
          <w:tcPr>
            <w:tcW w:w="7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David Lester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5"/>
              </w:rPr>
              <w:t>Vice President, Channel Management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May 1, 2015</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Hamilton</w:t>
            </w:r>
          </w:p>
        </w:tc>
      </w:tr>
      <w:tr>
        <w:trPr>
          <w:trHeight w:val="202"/>
        </w:trPr>
        <w:tc>
          <w:tcPr>
            <w:tcW w:w="7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 Sales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May 1, 2015</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7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May 1, 2015</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7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May 1, 2015</w:t>
            </w: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165735</wp:posOffset>
            </wp:positionV>
            <wp:extent cx="5085715" cy="763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857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April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Re:</w:t>
        <w:tab/>
        <w:t>OptimizeRx Corp.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have acted as counsel for OptimizeRx Corp., a Nevada corporation (the “Company”), in connection with the registration statement on Form S-1 (the “Registration Statement”) filed with the Securities and Exchange Commission (the “Commission”) on April 23, 2015, and any amendments thereto, pursuant to the Securities Act of 1933, as amended (the “Act”). The Registration Statement relates to the resale registration of: (a) 804,139 shares of common stock reserved for issuance and issuable upon the exercise of the warrants; and (b) 150,000 shares of the Company’s common stock, all of which are to be offered and sold by certain stockholders of the Company (the “Selling Stockholders”) as set forth in the Registration Statement.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shares of common stock to be sold by the Selling Stockholders are legally and validly issued, fully paid and non-assessable.</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shares of common stock underlying the warrants to be sold by the Selling Stockholders will be validly issued, fully paid and non-assessable and will be a binding obligation of the Company under the law of the State of Nevada when issued by the Company if the exercise price is received by the Company.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CONSENT to the use of my opinion in connection with the Form S-1 Registration Statement and any amendments thereto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*Licensed in California, Washington and Hawaii;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^Licensed in Colorado and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3439160" cy="823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12"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30, 2015, with respect to the financial statements of OptimizeRx Corporation in its registration statement Form S-1 relating to the registration of 954,139 shares of common stock. We also consent to the reference of our firm under the caption “interest of named experts and counsel” in the registration statement.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Minnesota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ectPr>
          <w:pgSz w:w="11900" w:h="16838" w:orient="portrait"/>
          <w:cols w:equalWidth="0" w:num="1">
            <w:col w:w="11420"/>
          </w:cols>
          <w:pgMar w:left="240" w:top="118"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23.2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28, 2015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hereby consents to the use in the Form S-1, Registration Statement under the Securities Act of 1933, filed by OptimizeRx Corporation of our report dated March 20, 2014, relating to the consolidated financial statements of OptimizeRx Corporation, a Nevada Corporation, as of and for the year ending December 31, 2013, and the reference to us under the caption “Interests of Named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Roman"/>
      <w:start w:val="2"/>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decimal"/>
      <w:start w:val="7"/>
    </w:lvl>
  </w:abstractNum>
  <w:abstractNum w:abstractNumId="12">
    <w:nsid w:val="836C40E"/>
    <w:multiLevelType w:val="hybridMultilevel"/>
    <w:lvl w:ilvl="0">
      <w:lvlJc w:val="left"/>
      <w:lvlText w:val="%1."/>
      <w:numFmt w:val="lowerRoman"/>
      <w:start w:val="2"/>
    </w:lvl>
  </w:abstractNum>
  <w:abstractNum w:abstractNumId="13">
    <w:nsid w:val="2901D82"/>
    <w:multiLevelType w:val="hybridMultilevel"/>
    <w:lvl w:ilvl="0">
      <w:lvlJc w:val="left"/>
      <w:lvlText w:val="%1."/>
      <w:numFmt w:val="decimal"/>
      <w:start w:val="8"/>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7"/>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bullet"/>
      <w:start w:val="1"/>
    </w:lvl>
  </w:abstractNum>
  <w:abstractNum w:abstractNumId="32">
    <w:nsid w:val="2463B9EA"/>
    <w:multiLevelType w:val="hybridMultilevel"/>
    <w:lvl w:ilvl="0">
      <w:lvlJc w:val="left"/>
      <w:lvlText w:val="2"/>
      <w:numFmt w:val="bullet"/>
      <w:start w:val="1"/>
    </w:lvl>
  </w:abstractNum>
  <w:abstractNum w:abstractNumId="33">
    <w:nsid w:val="5E884ADC"/>
    <w:multiLevelType w:val="hybridMultilevel"/>
    <w:lvl w:ilvl="0">
      <w:lvlJc w:val="left"/>
      <w:lvlText w:val="3"/>
      <w:numFmt w:val="bullet"/>
      <w:start w:val="1"/>
    </w:lvl>
  </w:abstractNum>
  <w:abstractNum w:abstractNumId="34">
    <w:nsid w:val="51EAD36B"/>
    <w:multiLevelType w:val="hybridMultilevel"/>
    <w:lvl w:ilvl="0">
      <w:lvlJc w:val="left"/>
      <w:lvlText w:val="4"/>
      <w:numFmt w:val="bullet"/>
      <w:start w:val="1"/>
    </w:lvl>
  </w:abstractNum>
  <w:abstractNum w:abstractNumId="35">
    <w:nsid w:val="2D517796"/>
    <w:multiLevelType w:val="hybridMultilevel"/>
    <w:lvl w:ilvl="0">
      <w:lvlJc w:val="left"/>
      <w:lvlText w:val="5"/>
      <w:numFmt w:val="bullet"/>
      <w:start w:val="1"/>
    </w:lvl>
  </w:abstractNum>
  <w:abstractNum w:abstractNumId="36">
    <w:nsid w:val="580BD78F"/>
    <w:multiLevelType w:val="hybridMultilevel"/>
    <w:lvl w:ilvl="0">
      <w:lvlJc w:val="left"/>
      <w:lvlText w:val="6"/>
      <w:numFmt w:val="bullet"/>
      <w:start w:val="1"/>
    </w:lvl>
  </w:abstractNum>
  <w:abstractNum w:abstractNumId="37">
    <w:nsid w:val="153EA438"/>
    <w:multiLevelType w:val="hybridMultilevel"/>
    <w:lvl w:ilvl="0">
      <w:lvlJc w:val="left"/>
      <w:lvlText w:val="7"/>
      <w:numFmt w:val="bullet"/>
      <w:start w:val="1"/>
    </w:lvl>
  </w:abstractNum>
  <w:abstractNum w:abstractNumId="38">
    <w:nsid w:val="3855585C"/>
    <w:multiLevelType w:val="hybridMultilevel"/>
    <w:lvl w:ilvl="0">
      <w:lvlJc w:val="left"/>
      <w:lvlText w:val="8"/>
      <w:numFmt w:val="bullet"/>
      <w:start w:val="1"/>
    </w:lvl>
  </w:abstractNum>
  <w:abstractNum w:abstractNumId="39">
    <w:nsid w:val="70A64E2A"/>
    <w:multiLevelType w:val="hybridMultilevel"/>
    <w:lvl w:ilvl="0">
      <w:lvlJc w:val="left"/>
      <w:lvlText w:val="9"/>
      <w:numFmt w:val="bullet"/>
      <w:start w:val="1"/>
    </w:lvl>
  </w:abstractNum>
  <w:abstractNum w:abstractNumId="40">
    <w:nsid w:val="6A2342EC"/>
    <w:multiLevelType w:val="hybridMultilevel"/>
    <w:lvl w:ilvl="0">
      <w:lvlJc w:val="left"/>
      <w:lvlText w:val="%1"/>
      <w:numFmt w:val="decimal"/>
      <w:start w:val="10"/>
    </w:lvl>
  </w:abstractNum>
  <w:abstractNum w:abstractNumId="41">
    <w:nsid w:val="2A487CB0"/>
    <w:multiLevelType w:val="hybridMultilevel"/>
    <w:lvl w:ilvl="0">
      <w:lvlJc w:val="left"/>
      <w:lvlText w:val="(%1)"/>
      <w:numFmt w:val="lowerLetter"/>
      <w:start w:val="1"/>
    </w:lvl>
    <w:lvl w:ilvl="1">
      <w:lvlJc w:val="left"/>
      <w:lvlText w:val="(%2)"/>
      <w:numFmt w:val="lowerRoman"/>
      <w:start w:val="1"/>
    </w:lvl>
  </w:abstractNum>
  <w:abstractNum w:abstractNumId="42">
    <w:nsid w:val="1D4ED43B"/>
    <w:multiLevelType w:val="hybridMultilevel"/>
    <w:lvl w:ilvl="0">
      <w:lvlJc w:val="left"/>
      <w:lvlText w:val="(%1)"/>
      <w:numFmt w:val="lowerLetter"/>
      <w:start w:val="4"/>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2019-12-08T21:35:52Z</dcterms:created>
  <dcterms:modified xsi:type="dcterms:W3CDTF">2019-12-08T21:35:52Z</dcterms:modified>
</cp:coreProperties>
</file>