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[X]  Quarterly Report pursuant to Section 13 or 15(d) of the Securities Exchange Act of 1934</w:t>
      </w:r>
    </w:p>
    <w:p>
      <w:pPr>
        <w:spacing w:after="0" w:line="2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u w:val="single" w:color="auto"/>
          <w:color w:val="auto"/>
        </w:rPr>
        <w:t>March 31, 2013</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7060" w:type="dxa"/>
            <w:vAlign w:val="bottom"/>
            <w:gridSpan w:val="5"/>
          </w:tcPr>
          <w:p>
            <w:pPr>
              <w:spacing w:after="0"/>
              <w:rPr>
                <w:sz w:val="20"/>
                <w:szCs w:val="20"/>
                <w:color w:val="auto"/>
              </w:rPr>
            </w:pPr>
            <w:r>
              <w:rPr>
                <w:rFonts w:ascii="Arial" w:cs="Arial" w:eastAsia="Arial" w:hAnsi="Arial"/>
                <w:sz w:val="18"/>
                <w:szCs w:val="18"/>
                <w:color w:val="auto"/>
              </w:rPr>
              <w:t>[ ]  Transition Report pursuant to 13 or 15(d) of the Securities Exchange Act of 1934</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2"/>
        </w:trPr>
        <w:tc>
          <w:tcPr>
            <w:tcW w:w="2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20" w:type="dxa"/>
            <w:vAlign w:val="bottom"/>
            <w:gridSpan w:val="2"/>
          </w:tcPr>
          <w:p>
            <w:pPr>
              <w:ind w:left="140"/>
              <w:spacing w:after="0"/>
              <w:rPr>
                <w:sz w:val="20"/>
                <w:szCs w:val="20"/>
                <w:color w:val="auto"/>
              </w:rPr>
            </w:pPr>
            <w:r>
              <w:rPr>
                <w:rFonts w:ascii="Arial" w:cs="Arial" w:eastAsia="Arial" w:hAnsi="Arial"/>
                <w:sz w:val="18"/>
                <w:szCs w:val="18"/>
                <w:color w:val="auto"/>
                <w:w w:val="93"/>
              </w:rPr>
              <w:t>For the transition period from</w:t>
            </w:r>
          </w:p>
        </w:tc>
        <w:tc>
          <w:tcPr>
            <w:tcW w:w="2760" w:type="dxa"/>
            <w:vAlign w:val="bottom"/>
            <w:gridSpan w:val="5"/>
          </w:tcPr>
          <w:p>
            <w:pPr>
              <w:jc w:val="right"/>
              <w:ind w:right="680"/>
              <w:spacing w:after="0"/>
              <w:rPr>
                <w:sz w:val="20"/>
                <w:szCs w:val="20"/>
                <w:color w:val="auto"/>
              </w:rPr>
            </w:pPr>
            <w:r>
              <w:rPr>
                <w:rFonts w:ascii="Arial" w:cs="Arial" w:eastAsia="Arial" w:hAnsi="Arial"/>
                <w:sz w:val="18"/>
                <w:szCs w:val="18"/>
                <w:color w:val="auto"/>
                <w:w w:val="91"/>
              </w:rPr>
              <w:t>__________ to __________</w:t>
            </w:r>
          </w:p>
        </w:tc>
      </w:tr>
      <w:tr>
        <w:trPr>
          <w:trHeight w:val="194"/>
        </w:trPr>
        <w:tc>
          <w:tcPr>
            <w:tcW w:w="2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080" w:type="dxa"/>
            <w:vAlign w:val="bottom"/>
            <w:gridSpan w:val="7"/>
          </w:tcPr>
          <w:p>
            <w:pPr>
              <w:jc w:val="right"/>
              <w:ind w:right="680"/>
              <w:spacing w:after="0" w:line="194" w:lineRule="exact"/>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000-53605</w:t>
            </w:r>
          </w:p>
        </w:tc>
      </w:tr>
      <w:tr>
        <w:trPr>
          <w:trHeight w:val="412"/>
        </w:trPr>
        <w:tc>
          <w:tcPr>
            <w:tcW w:w="2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OptimizeRx Corporation</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r>
      <w:tr>
        <w:trPr>
          <w:trHeight w:val="20"/>
        </w:trPr>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237"/>
        </w:trPr>
        <w:tc>
          <w:tcPr>
            <w:tcW w:w="2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60" w:type="dxa"/>
            <w:vAlign w:val="bottom"/>
            <w:gridSpan w:val="8"/>
          </w:tcPr>
          <w:p>
            <w:pPr>
              <w:jc w:val="center"/>
              <w:ind w:right="154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92"/>
        </w:trPr>
        <w:tc>
          <w:tcPr>
            <w:tcW w:w="25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3900" w:type="dxa"/>
            <w:vAlign w:val="bottom"/>
            <w:gridSpan w:val="3"/>
          </w:tcPr>
          <w:p>
            <w:pPr>
              <w:spacing w:after="0"/>
              <w:rPr>
                <w:sz w:val="24"/>
                <w:szCs w:val="24"/>
                <w:color w:val="auto"/>
              </w:rPr>
            </w:pPr>
          </w:p>
        </w:tc>
        <w:tc>
          <w:tcPr>
            <w:tcW w:w="20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26-1265381</w:t>
            </w:r>
          </w:p>
        </w:tc>
        <w:tc>
          <w:tcPr>
            <w:tcW w:w="680" w:type="dxa"/>
            <w:vAlign w:val="bottom"/>
          </w:tcPr>
          <w:p>
            <w:pPr>
              <w:spacing w:after="0"/>
              <w:rPr>
                <w:sz w:val="24"/>
                <w:szCs w:val="24"/>
                <w:color w:val="auto"/>
              </w:rPr>
            </w:pPr>
          </w:p>
        </w:tc>
      </w:tr>
      <w:tr>
        <w:trPr>
          <w:trHeight w:val="20"/>
        </w:trPr>
        <w:tc>
          <w:tcPr>
            <w:tcW w:w="2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237"/>
        </w:trPr>
        <w:tc>
          <w:tcPr>
            <w:tcW w:w="7060" w:type="dxa"/>
            <w:vAlign w:val="bottom"/>
            <w:gridSpan w:val="5"/>
          </w:tcPr>
          <w:p>
            <w:pPr>
              <w:jc w:val="center"/>
              <w:ind w:right="13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760" w:type="dxa"/>
            <w:vAlign w:val="bottom"/>
            <w:gridSpan w:val="5"/>
          </w:tcPr>
          <w:p>
            <w:pPr>
              <w:ind w:left="280"/>
              <w:spacing w:after="0"/>
              <w:rPr>
                <w:sz w:val="20"/>
                <w:szCs w:val="20"/>
                <w:color w:val="auto"/>
              </w:rPr>
            </w:pPr>
            <w:r>
              <w:rPr>
                <w:rFonts w:ascii="Arial" w:cs="Arial" w:eastAsia="Arial" w:hAnsi="Arial"/>
                <w:sz w:val="18"/>
                <w:szCs w:val="18"/>
                <w:color w:val="auto"/>
                <w:w w:val="93"/>
              </w:rPr>
              <w:t>(IRS Employer Identification No.)</w:t>
            </w: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400 Water St., Ste 200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Rochester, MI, 48307</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248-651-6568</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w:t>
      </w:r>
    </w:p>
    <w:p>
      <w:pPr>
        <w:spacing w:after="0" w:line="211"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during the preceding 12 months (or for such shorter period that the registrant was required to file such reports), and (2) has been subject to such filing</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[X] Yes [ ] No</w:t>
      </w:r>
    </w:p>
    <w:p>
      <w:pPr>
        <w:spacing w:after="0" w:line="211"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Yes [X] No [ ]</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360"/>
          </w:cols>
          <w:pgMar w:left="240" w:top="449" w:right="299" w:bottom="1440" w:gutter="0" w:footer="0" w:header="0"/>
        </w:sectPr>
      </w:pPr>
    </w:p>
    <w:p>
      <w:pPr>
        <w:spacing w:after="0" w:line="237" w:lineRule="exact"/>
        <w:rPr>
          <w:sz w:val="24"/>
          <w:szCs w:val="24"/>
          <w:color w:val="auto"/>
        </w:rPr>
      </w:pPr>
    </w:p>
    <w:p>
      <w:pPr>
        <w:ind w:right="1920"/>
        <w:spacing w:after="0" w:line="277" w:lineRule="auto"/>
        <w:rPr>
          <w:sz w:val="20"/>
          <w:szCs w:val="20"/>
          <w:color w:val="auto"/>
        </w:rPr>
      </w:pPr>
      <w:r>
        <w:rPr>
          <w:rFonts w:ascii="Arial" w:cs="Arial" w:eastAsia="Arial" w:hAnsi="Arial"/>
          <w:sz w:val="18"/>
          <w:szCs w:val="18"/>
          <w:color w:val="auto"/>
        </w:rPr>
        <w:t>[ ] Large accelerated filer Accelerated filer [X] Smaller reporting company</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 ] Non-accelerated filer</w:t>
      </w:r>
    </w:p>
    <w:p>
      <w:pPr>
        <w:spacing w:after="0" w:line="463" w:lineRule="exact"/>
        <w:rPr>
          <w:sz w:val="24"/>
          <w:szCs w:val="24"/>
          <w:color w:val="auto"/>
        </w:rPr>
      </w:pPr>
    </w:p>
    <w:p>
      <w:pPr>
        <w:sectPr>
          <w:pgSz w:w="11900" w:h="16838" w:orient="portrait"/>
          <w:cols w:equalWidth="0" w:num="2">
            <w:col w:w="5000" w:space="720"/>
            <w:col w:w="5640"/>
          </w:cols>
          <w:pgMar w:left="240" w:top="449" w:right="29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14,232,496 common shares as of March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8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PART I – FINANCIAL INFORMATION</w:t>
            </w: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Page</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gridSpan w:val="9"/>
            <w:vMerge w:val="continue"/>
          </w:tcPr>
          <w:p>
            <w:pPr>
              <w:spacing w:after="0"/>
              <w:rPr>
                <w:sz w:val="14"/>
                <w:szCs w:val="14"/>
                <w:color w:val="auto"/>
              </w:rPr>
            </w:pPr>
          </w:p>
        </w:tc>
        <w:tc>
          <w:tcPr>
            <w:tcW w:w="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00" w:type="dxa"/>
            <w:vAlign w:val="bottom"/>
          </w:tcPr>
          <w:p>
            <w:pPr>
              <w:spacing w:after="0"/>
              <w:rPr>
                <w:sz w:val="17"/>
                <w:szCs w:val="17"/>
                <w:color w:val="auto"/>
              </w:rPr>
            </w:pPr>
          </w:p>
        </w:tc>
        <w:tc>
          <w:tcPr>
            <w:tcW w:w="960" w:type="dxa"/>
            <w:vAlign w:val="bottom"/>
            <w:tcBorders>
              <w:bottom w:val="single" w:sz="8" w:color="CCEECC"/>
            </w:tcBorders>
            <w:shd w:val="clear" w:color="auto" w:fill="CCEECC"/>
          </w:tcPr>
          <w:p>
            <w:pPr>
              <w:ind w:left="100"/>
              <w:spacing w:after="0" w:line="176" w:lineRule="exact"/>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6"/>
            <w:shd w:val="clear" w:color="auto" w:fill="CCEECC"/>
          </w:tcPr>
          <w:p>
            <w:pPr>
              <w:spacing w:after="0" w:line="17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4300" w:type="dxa"/>
            <w:vAlign w:val="bottom"/>
            <w:tcBorders>
              <w:bottom w:val="single" w:sz="8" w:color="CCEECC"/>
            </w:tcBorders>
            <w:gridSpan w:val="8"/>
            <w:shd w:val="clear" w:color="auto" w:fill="CCEECC"/>
          </w:tcPr>
          <w:p>
            <w:pPr>
              <w:spacing w:after="0"/>
              <w:rPr>
                <w:sz w:val="17"/>
                <w:szCs w:val="17"/>
                <w:color w:val="auto"/>
              </w:rPr>
            </w:pPr>
          </w:p>
        </w:tc>
        <w:tc>
          <w:tcPr>
            <w:tcW w:w="640" w:type="dxa"/>
            <w:vAlign w:val="bottom"/>
            <w:tcBorders>
              <w:bottom w:val="single" w:sz="8" w:color="CCEECC"/>
            </w:tcBorders>
            <w:shd w:val="clear" w:color="auto" w:fill="CCEECC"/>
          </w:tcPr>
          <w:p>
            <w:pPr>
              <w:jc w:val="center"/>
              <w:spacing w:after="0" w:line="176" w:lineRule="exact"/>
              <w:rPr>
                <w:sz w:val="20"/>
                <w:szCs w:val="20"/>
                <w:color w:val="auto"/>
              </w:rPr>
            </w:pPr>
            <w:r>
              <w:rPr>
                <w:rFonts w:ascii="Arial" w:cs="Arial" w:eastAsia="Arial" w:hAnsi="Arial"/>
                <w:sz w:val="18"/>
                <w:szCs w:val="18"/>
                <w:color w:val="auto"/>
                <w:w w:val="79"/>
              </w:rPr>
              <w:t>3</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960" w:type="dxa"/>
            <w:vAlign w:val="bottom"/>
          </w:tcPr>
          <w:p>
            <w:pPr>
              <w:ind w:left="100"/>
              <w:spacing w:after="0" w:line="176" w:lineRule="exact"/>
              <w:rPr>
                <w:sz w:val="20"/>
                <w:szCs w:val="20"/>
                <w:color w:val="auto"/>
              </w:rPr>
            </w:pPr>
            <w:r>
              <w:rPr>
                <w:rFonts w:ascii="Arial" w:cs="Arial" w:eastAsia="Arial" w:hAnsi="Arial"/>
                <w:sz w:val="18"/>
                <w:szCs w:val="18"/>
                <w:color w:val="auto"/>
              </w:rPr>
              <w:t>Item 2:</w:t>
            </w:r>
          </w:p>
        </w:tc>
        <w:tc>
          <w:tcPr>
            <w:tcW w:w="5640" w:type="dxa"/>
            <w:vAlign w:val="bottom"/>
            <w:tcBorders>
              <w:bottom w:val="single" w:sz="8" w:color="0000EE"/>
            </w:tcBorders>
            <w:gridSpan w:val="13"/>
          </w:tcPr>
          <w:p>
            <w:pPr>
              <w:spacing w:after="0" w:line="17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Management’s Discussion and Analysis of Financial Condition and Results of</w:t>
              </w:r>
            </w:hyperlink>
          </w:p>
        </w:tc>
        <w:tc>
          <w:tcPr>
            <w:tcW w:w="18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20" w:type="dxa"/>
            <w:vAlign w:val="bottom"/>
            <w:gridSpan w:val="14"/>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Operations</w:t>
              </w:r>
            </w:hyperlink>
          </w:p>
        </w:tc>
        <w:tc>
          <w:tcPr>
            <w:tcW w:w="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tcPr>
          <w:p>
            <w:pPr>
              <w:spacing w:after="0"/>
              <w:rPr>
                <w:sz w:val="17"/>
                <w:szCs w:val="17"/>
                <w:color w:val="auto"/>
              </w:rPr>
            </w:pPr>
          </w:p>
        </w:tc>
        <w:tc>
          <w:tcPr>
            <w:tcW w:w="960" w:type="dxa"/>
            <w:vAlign w:val="bottom"/>
            <w:shd w:val="clear" w:color="auto" w:fill="CCEECC"/>
          </w:tcPr>
          <w:p>
            <w:pPr>
              <w:ind w:left="100"/>
              <w:spacing w:after="0" w:line="176" w:lineRule="exact"/>
              <w:rPr>
                <w:sz w:val="20"/>
                <w:szCs w:val="20"/>
                <w:color w:val="auto"/>
              </w:rPr>
            </w:pPr>
            <w:r>
              <w:rPr>
                <w:rFonts w:ascii="Arial" w:cs="Arial" w:eastAsia="Arial" w:hAnsi="Arial"/>
                <w:sz w:val="18"/>
                <w:szCs w:val="18"/>
                <w:color w:val="auto"/>
              </w:rPr>
              <w:t>Item 3:</w:t>
            </w:r>
          </w:p>
        </w:tc>
        <w:tc>
          <w:tcPr>
            <w:tcW w:w="5820" w:type="dxa"/>
            <w:vAlign w:val="bottom"/>
            <w:gridSpan w:val="14"/>
            <w:shd w:val="clear" w:color="auto" w:fill="CCEECC"/>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CC"/>
          </w:tcPr>
          <w:p>
            <w:pPr>
              <w:jc w:val="center"/>
              <w:spacing w:after="0" w:line="176" w:lineRule="exact"/>
              <w:rPr>
                <w:sz w:val="20"/>
                <w:szCs w:val="20"/>
                <w:color w:val="auto"/>
              </w:rPr>
            </w:pPr>
            <w:r>
              <w:rPr>
                <w:rFonts w:ascii="Arial" w:cs="Arial" w:eastAsia="Arial" w:hAnsi="Arial"/>
                <w:sz w:val="18"/>
                <w:szCs w:val="18"/>
                <w:color w:val="auto"/>
                <w:w w:val="79"/>
              </w:rPr>
              <w:t>7</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960" w:type="dxa"/>
            <w:vAlign w:val="bottom"/>
            <w:tcBorders>
              <w:top w:val="single" w:sz="8" w:color="CCEECC"/>
            </w:tcBorders>
          </w:tcPr>
          <w:p>
            <w:pPr>
              <w:ind w:left="100"/>
              <w:spacing w:after="0" w:line="17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8"/>
          </w:tcPr>
          <w:p>
            <w:pPr>
              <w:spacing w:after="0" w:line="17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3"/>
          </w:tcPr>
          <w:p>
            <w:pPr>
              <w:spacing w:after="0"/>
              <w:rPr>
                <w:sz w:val="15"/>
                <w:szCs w:val="15"/>
                <w:color w:val="auto"/>
              </w:rPr>
            </w:pPr>
          </w:p>
        </w:tc>
        <w:tc>
          <w:tcPr>
            <w:tcW w:w="1460" w:type="dxa"/>
            <w:vAlign w:val="bottom"/>
            <w:tcBorders>
              <w:top w:val="single" w:sz="8" w:color="CCEECC"/>
            </w:tcBorders>
            <w:gridSpan w:val="3"/>
          </w:tcPr>
          <w:p>
            <w:pPr>
              <w:spacing w:after="0"/>
              <w:rPr>
                <w:sz w:val="15"/>
                <w:szCs w:val="15"/>
                <w:color w:val="auto"/>
              </w:rPr>
            </w:pPr>
          </w:p>
        </w:tc>
        <w:tc>
          <w:tcPr>
            <w:tcW w:w="640" w:type="dxa"/>
            <w:vAlign w:val="bottom"/>
            <w:tcBorders>
              <w:top w:val="single" w:sz="8" w:color="CCEECC"/>
            </w:tcBorders>
          </w:tcPr>
          <w:p>
            <w:pPr>
              <w:jc w:val="center"/>
              <w:spacing w:after="0" w:line="176" w:lineRule="exact"/>
              <w:rPr>
                <w:sz w:val="20"/>
                <w:szCs w:val="20"/>
                <w:color w:val="auto"/>
              </w:rPr>
            </w:pPr>
            <w:r>
              <w:rPr>
                <w:rFonts w:ascii="Arial" w:cs="Arial" w:eastAsia="Arial" w:hAnsi="Arial"/>
                <w:sz w:val="18"/>
                <w:szCs w:val="18"/>
                <w:color w:val="auto"/>
                <w:w w:val="79"/>
              </w:rPr>
              <w:t>7</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500" w:type="dxa"/>
            <w:vAlign w:val="bottom"/>
            <w:gridSpan w:val="10"/>
          </w:tcPr>
          <w:p>
            <w:pPr>
              <w:spacing w:after="0" w:line="196" w:lineRule="exact"/>
              <w:rPr>
                <w:sz w:val="20"/>
                <w:szCs w:val="20"/>
                <w:color w:val="auto"/>
              </w:rPr>
            </w:pPr>
            <w:r>
              <w:rPr>
                <w:rFonts w:ascii="Arial" w:cs="Arial" w:eastAsia="Arial" w:hAnsi="Arial"/>
                <w:sz w:val="18"/>
                <w:szCs w:val="18"/>
                <w:b w:val="1"/>
                <w:bCs w:val="1"/>
                <w:color w:val="auto"/>
              </w:rPr>
              <w:t>PART II – OTHER INFORMATION</w:t>
            </w:r>
          </w:p>
        </w:tc>
        <w:tc>
          <w:tcPr>
            <w:tcW w:w="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tcPr>
          <w:p>
            <w:pPr>
              <w:spacing w:after="0"/>
              <w:rPr>
                <w:sz w:val="17"/>
                <w:szCs w:val="17"/>
                <w:color w:val="auto"/>
              </w:rPr>
            </w:pPr>
          </w:p>
        </w:tc>
        <w:tc>
          <w:tcPr>
            <w:tcW w:w="960" w:type="dxa"/>
            <w:vAlign w:val="bottom"/>
            <w:shd w:val="clear" w:color="auto" w:fill="CCEECC"/>
          </w:tcPr>
          <w:p>
            <w:pPr>
              <w:ind w:left="100"/>
              <w:spacing w:after="0" w:line="176" w:lineRule="exact"/>
              <w:rPr>
                <w:sz w:val="20"/>
                <w:szCs w:val="20"/>
                <w:color w:val="auto"/>
              </w:rPr>
            </w:pPr>
            <w:r>
              <w:rPr>
                <w:rFonts w:ascii="Arial" w:cs="Arial" w:eastAsia="Arial" w:hAnsi="Arial"/>
                <w:sz w:val="18"/>
                <w:szCs w:val="18"/>
                <w:color w:val="auto"/>
              </w:rPr>
              <w:t>Item 1:</w:t>
            </w:r>
          </w:p>
        </w:tc>
        <w:tc>
          <w:tcPr>
            <w:tcW w:w="5820" w:type="dxa"/>
            <w:vAlign w:val="bottom"/>
            <w:gridSpan w:val="14"/>
            <w:shd w:val="clear" w:color="auto" w:fill="CCEECC"/>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640" w:type="dxa"/>
            <w:vAlign w:val="bottom"/>
            <w:shd w:val="clear" w:color="auto" w:fill="CCEECC"/>
          </w:tcPr>
          <w:p>
            <w:pPr>
              <w:jc w:val="center"/>
              <w:spacing w:after="0" w:line="176" w:lineRule="exact"/>
              <w:rPr>
                <w:sz w:val="20"/>
                <w:szCs w:val="20"/>
                <w:color w:val="auto"/>
              </w:rPr>
            </w:pPr>
            <w:r>
              <w:rPr>
                <w:rFonts w:ascii="Arial" w:cs="Arial" w:eastAsia="Arial" w:hAnsi="Arial"/>
                <w:sz w:val="18"/>
                <w:szCs w:val="18"/>
                <w:color w:val="auto"/>
                <w:w w:val="79"/>
              </w:rPr>
              <w:t>8</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960" w:type="dxa"/>
            <w:vAlign w:val="bottom"/>
            <w:tcBorders>
              <w:top w:val="single" w:sz="8" w:color="CCEECC"/>
            </w:tcBorders>
          </w:tcPr>
          <w:p>
            <w:pPr>
              <w:ind w:left="100"/>
              <w:spacing w:after="0" w:line="176" w:lineRule="exact"/>
              <w:rPr>
                <w:sz w:val="20"/>
                <w:szCs w:val="20"/>
                <w:color w:val="auto"/>
              </w:rPr>
            </w:pPr>
            <w:r>
              <w:rPr>
                <w:rFonts w:ascii="Arial" w:cs="Arial" w:eastAsia="Arial" w:hAnsi="Arial"/>
                <w:sz w:val="18"/>
                <w:szCs w:val="18"/>
                <w:color w:val="auto"/>
              </w:rPr>
              <w:t>Item 1A:</w:t>
            </w:r>
          </w:p>
        </w:tc>
        <w:tc>
          <w:tcPr>
            <w:tcW w:w="134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4480" w:type="dxa"/>
            <w:vAlign w:val="bottom"/>
            <w:tcBorders>
              <w:top w:val="single" w:sz="8" w:color="CCEECC"/>
            </w:tcBorders>
            <w:gridSpan w:val="9"/>
          </w:tcPr>
          <w:p>
            <w:pPr>
              <w:spacing w:after="0"/>
              <w:rPr>
                <w:sz w:val="15"/>
                <w:szCs w:val="15"/>
                <w:color w:val="auto"/>
              </w:rPr>
            </w:pPr>
          </w:p>
        </w:tc>
        <w:tc>
          <w:tcPr>
            <w:tcW w:w="640" w:type="dxa"/>
            <w:vAlign w:val="bottom"/>
            <w:tcBorders>
              <w:top w:val="single" w:sz="8" w:color="CCEECC"/>
            </w:tcBorders>
          </w:tcPr>
          <w:p>
            <w:pPr>
              <w:jc w:val="center"/>
              <w:spacing w:after="0" w:line="176" w:lineRule="exact"/>
              <w:rPr>
                <w:sz w:val="20"/>
                <w:szCs w:val="20"/>
                <w:color w:val="auto"/>
              </w:rPr>
            </w:pPr>
            <w:r>
              <w:rPr>
                <w:rFonts w:ascii="Arial" w:cs="Arial" w:eastAsia="Arial" w:hAnsi="Arial"/>
                <w:sz w:val="18"/>
                <w:szCs w:val="18"/>
                <w:color w:val="auto"/>
                <w:w w:val="79"/>
              </w:rPr>
              <w:t>8</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tcPr>
          <w:p>
            <w:pPr>
              <w:spacing w:after="0"/>
              <w:rPr>
                <w:sz w:val="17"/>
                <w:szCs w:val="17"/>
                <w:color w:val="auto"/>
              </w:rPr>
            </w:pPr>
          </w:p>
        </w:tc>
        <w:tc>
          <w:tcPr>
            <w:tcW w:w="960" w:type="dxa"/>
            <w:vAlign w:val="bottom"/>
            <w:tcBorders>
              <w:bottom w:val="single" w:sz="8" w:color="CCEECC"/>
            </w:tcBorders>
            <w:shd w:val="clear" w:color="auto" w:fill="CCEECC"/>
          </w:tcPr>
          <w:p>
            <w:pPr>
              <w:ind w:left="100"/>
              <w:spacing w:after="0" w:line="17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shd w:val="clear" w:color="auto" w:fill="CCEECC"/>
          </w:tcPr>
          <w:p>
            <w:pPr>
              <w:spacing w:after="0" w:line="17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Unregistered Sales of Equity Securities and Use of Proceeds</w:t>
              </w:r>
            </w:hyperlink>
          </w:p>
        </w:tc>
        <w:tc>
          <w:tcPr>
            <w:tcW w:w="1460" w:type="dxa"/>
            <w:vAlign w:val="bottom"/>
            <w:tcBorders>
              <w:bottom w:val="single" w:sz="8" w:color="CCEECC"/>
            </w:tcBorders>
            <w:gridSpan w:val="3"/>
            <w:shd w:val="clear" w:color="auto" w:fill="CCEECC"/>
          </w:tcPr>
          <w:p>
            <w:pPr>
              <w:spacing w:after="0"/>
              <w:rPr>
                <w:sz w:val="17"/>
                <w:szCs w:val="17"/>
                <w:color w:val="auto"/>
              </w:rPr>
            </w:pPr>
          </w:p>
        </w:tc>
        <w:tc>
          <w:tcPr>
            <w:tcW w:w="640" w:type="dxa"/>
            <w:vAlign w:val="bottom"/>
            <w:tcBorders>
              <w:bottom w:val="single" w:sz="8" w:color="CCEECC"/>
            </w:tcBorders>
            <w:shd w:val="clear" w:color="auto" w:fill="CCEECC"/>
          </w:tcPr>
          <w:p>
            <w:pPr>
              <w:jc w:val="center"/>
              <w:spacing w:after="0" w:line="176" w:lineRule="exact"/>
              <w:rPr>
                <w:sz w:val="20"/>
                <w:szCs w:val="20"/>
                <w:color w:val="auto"/>
              </w:rPr>
            </w:pPr>
            <w:r>
              <w:rPr>
                <w:rFonts w:ascii="Arial" w:cs="Arial" w:eastAsia="Arial" w:hAnsi="Arial"/>
                <w:sz w:val="18"/>
                <w:szCs w:val="18"/>
                <w:color w:val="auto"/>
                <w:w w:val="79"/>
              </w:rPr>
              <w:t>8</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960" w:type="dxa"/>
            <w:vAlign w:val="bottom"/>
          </w:tcPr>
          <w:p>
            <w:pPr>
              <w:ind w:left="100"/>
              <w:spacing w:after="0" w:line="176" w:lineRule="exact"/>
              <w:rPr>
                <w:sz w:val="20"/>
                <w:szCs w:val="20"/>
                <w:color w:val="auto"/>
              </w:rPr>
            </w:pPr>
            <w:r>
              <w:rPr>
                <w:rFonts w:ascii="Arial" w:cs="Arial" w:eastAsia="Arial" w:hAnsi="Arial"/>
                <w:sz w:val="18"/>
                <w:szCs w:val="18"/>
                <w:color w:val="auto"/>
              </w:rPr>
              <w:t>Item 3:</w:t>
            </w:r>
          </w:p>
        </w:tc>
        <w:tc>
          <w:tcPr>
            <w:tcW w:w="5820" w:type="dxa"/>
            <w:vAlign w:val="bottom"/>
            <w:gridSpan w:val="14"/>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Defaults Upon Senior Securities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8</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tcPr>
          <w:p>
            <w:pPr>
              <w:spacing w:after="0"/>
              <w:rPr>
                <w:sz w:val="17"/>
                <w:szCs w:val="17"/>
                <w:color w:val="auto"/>
              </w:rPr>
            </w:pPr>
          </w:p>
        </w:tc>
        <w:tc>
          <w:tcPr>
            <w:tcW w:w="960" w:type="dxa"/>
            <w:vAlign w:val="bottom"/>
            <w:shd w:val="clear" w:color="auto" w:fill="CCEECC"/>
          </w:tcPr>
          <w:p>
            <w:pPr>
              <w:ind w:left="100"/>
              <w:spacing w:after="0" w:line="176" w:lineRule="exact"/>
              <w:rPr>
                <w:sz w:val="20"/>
                <w:szCs w:val="20"/>
                <w:color w:val="auto"/>
              </w:rPr>
            </w:pPr>
            <w:r>
              <w:rPr>
                <w:rFonts w:ascii="Arial" w:cs="Arial" w:eastAsia="Arial" w:hAnsi="Arial"/>
                <w:sz w:val="18"/>
                <w:szCs w:val="18"/>
                <w:color w:val="auto"/>
              </w:rPr>
              <w:t>Item 4:</w:t>
            </w:r>
          </w:p>
        </w:tc>
        <w:tc>
          <w:tcPr>
            <w:tcW w:w="5820" w:type="dxa"/>
            <w:vAlign w:val="bottom"/>
            <w:gridSpan w:val="14"/>
            <w:shd w:val="clear" w:color="auto" w:fill="CCEECC"/>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Mine Safety Disclosure</w:t>
              </w:r>
            </w:hyperlink>
          </w:p>
        </w:tc>
        <w:tc>
          <w:tcPr>
            <w:tcW w:w="640" w:type="dxa"/>
            <w:vAlign w:val="bottom"/>
            <w:shd w:val="clear" w:color="auto" w:fill="CCEECC"/>
          </w:tcPr>
          <w:p>
            <w:pPr>
              <w:jc w:val="center"/>
              <w:spacing w:after="0" w:line="176" w:lineRule="exact"/>
              <w:rPr>
                <w:sz w:val="20"/>
                <w:szCs w:val="20"/>
                <w:color w:val="auto"/>
              </w:rPr>
            </w:pPr>
            <w:r>
              <w:rPr>
                <w:rFonts w:ascii="Arial" w:cs="Arial" w:eastAsia="Arial" w:hAnsi="Arial"/>
                <w:sz w:val="18"/>
                <w:szCs w:val="18"/>
                <w:color w:val="auto"/>
                <w:w w:val="79"/>
              </w:rPr>
              <w:t>8</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960" w:type="dxa"/>
            <w:vAlign w:val="bottom"/>
            <w:tcBorders>
              <w:top w:val="single" w:sz="8" w:color="CCEECC"/>
            </w:tcBorders>
          </w:tcPr>
          <w:p>
            <w:pPr>
              <w:ind w:left="100"/>
              <w:spacing w:after="0" w:line="176" w:lineRule="exact"/>
              <w:rPr>
                <w:sz w:val="20"/>
                <w:szCs w:val="20"/>
                <w:color w:val="auto"/>
              </w:rPr>
            </w:pPr>
            <w:r>
              <w:rPr>
                <w:rFonts w:ascii="Arial" w:cs="Arial" w:eastAsia="Arial" w:hAnsi="Arial"/>
                <w:sz w:val="18"/>
                <w:szCs w:val="18"/>
                <w:color w:val="auto"/>
              </w:rPr>
              <w:t>Item 5:</w:t>
            </w:r>
          </w:p>
        </w:tc>
        <w:tc>
          <w:tcPr>
            <w:tcW w:w="170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4120" w:type="dxa"/>
            <w:vAlign w:val="bottom"/>
            <w:tcBorders>
              <w:top w:val="single" w:sz="8" w:color="CCEECC"/>
            </w:tcBorders>
            <w:gridSpan w:val="7"/>
          </w:tcPr>
          <w:p>
            <w:pPr>
              <w:spacing w:after="0"/>
              <w:rPr>
                <w:sz w:val="15"/>
                <w:szCs w:val="15"/>
                <w:color w:val="auto"/>
              </w:rPr>
            </w:pPr>
          </w:p>
        </w:tc>
        <w:tc>
          <w:tcPr>
            <w:tcW w:w="640" w:type="dxa"/>
            <w:vAlign w:val="bottom"/>
            <w:tcBorders>
              <w:top w:val="single" w:sz="8" w:color="CCEECC"/>
            </w:tcBorders>
          </w:tcPr>
          <w:p>
            <w:pPr>
              <w:jc w:val="center"/>
              <w:spacing w:after="0" w:line="176" w:lineRule="exact"/>
              <w:rPr>
                <w:sz w:val="20"/>
                <w:szCs w:val="20"/>
                <w:color w:val="auto"/>
              </w:rPr>
            </w:pPr>
            <w:r>
              <w:rPr>
                <w:rFonts w:ascii="Arial" w:cs="Arial" w:eastAsia="Arial" w:hAnsi="Arial"/>
                <w:sz w:val="18"/>
                <w:szCs w:val="18"/>
                <w:color w:val="auto"/>
                <w:w w:val="79"/>
              </w:rPr>
              <w:t>8</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tcPr>
          <w:p>
            <w:pPr>
              <w:spacing w:after="0"/>
              <w:rPr>
                <w:sz w:val="17"/>
                <w:szCs w:val="17"/>
                <w:color w:val="auto"/>
              </w:rPr>
            </w:pPr>
          </w:p>
        </w:tc>
        <w:tc>
          <w:tcPr>
            <w:tcW w:w="960" w:type="dxa"/>
            <w:vAlign w:val="bottom"/>
            <w:shd w:val="clear" w:color="auto" w:fill="CCEECC"/>
          </w:tcPr>
          <w:p>
            <w:pPr>
              <w:ind w:left="100"/>
              <w:spacing w:after="0" w:line="176" w:lineRule="exact"/>
              <w:rPr>
                <w:sz w:val="20"/>
                <w:szCs w:val="20"/>
                <w:color w:val="auto"/>
              </w:rPr>
            </w:pPr>
            <w:r>
              <w:rPr>
                <w:rFonts w:ascii="Arial" w:cs="Arial" w:eastAsia="Arial" w:hAnsi="Arial"/>
                <w:sz w:val="18"/>
                <w:szCs w:val="18"/>
                <w:color w:val="auto"/>
              </w:rPr>
              <w:t>Item 6:</w:t>
            </w:r>
          </w:p>
        </w:tc>
        <w:tc>
          <w:tcPr>
            <w:tcW w:w="5820" w:type="dxa"/>
            <w:vAlign w:val="bottom"/>
            <w:gridSpan w:val="14"/>
            <w:shd w:val="clear" w:color="auto" w:fill="CCEECC"/>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640" w:type="dxa"/>
            <w:vAlign w:val="bottom"/>
            <w:shd w:val="clear" w:color="auto" w:fill="CCEECC"/>
          </w:tcPr>
          <w:p>
            <w:pPr>
              <w:jc w:val="center"/>
              <w:spacing w:after="0" w:line="176" w:lineRule="exact"/>
              <w:rPr>
                <w:sz w:val="20"/>
                <w:szCs w:val="20"/>
                <w:color w:val="auto"/>
              </w:rPr>
            </w:pPr>
            <w:r>
              <w:rPr>
                <w:rFonts w:ascii="Arial" w:cs="Arial" w:eastAsia="Arial" w:hAnsi="Arial"/>
                <w:sz w:val="18"/>
                <w:szCs w:val="18"/>
                <w:color w:val="auto"/>
                <w:w w:val="79"/>
              </w:rPr>
              <w:t>8</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000" w:type="dxa"/>
            <w:vAlign w:val="bottom"/>
            <w:tcBorders>
              <w:bottom w:val="single" w:sz="8" w:color="auto"/>
            </w:tcBorders>
          </w:tcPr>
          <w:p>
            <w:pPr>
              <w:spacing w:after="0"/>
              <w:rPr>
                <w:sz w:val="24"/>
                <w:szCs w:val="24"/>
                <w:color w:val="auto"/>
              </w:rPr>
            </w:pPr>
          </w:p>
        </w:tc>
        <w:tc>
          <w:tcPr>
            <w:tcW w:w="960" w:type="dxa"/>
            <w:vAlign w:val="bottom"/>
            <w:tcBorders>
              <w:top w:val="single" w:sz="8" w:color="CCEECC"/>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CCEECC"/>
              <w:bottom w:val="single" w:sz="8" w:color="auto"/>
            </w:tcBorders>
          </w:tcPr>
          <w:p>
            <w:pPr>
              <w:spacing w:after="0"/>
              <w:rPr>
                <w:sz w:val="24"/>
                <w:szCs w:val="24"/>
                <w:color w:val="auto"/>
              </w:rPr>
            </w:pPr>
          </w:p>
        </w:tc>
        <w:tc>
          <w:tcPr>
            <w:tcW w:w="120" w:type="dxa"/>
            <w:vAlign w:val="bottom"/>
            <w:tcBorders>
              <w:top w:val="single" w:sz="8" w:color="CCEECC"/>
              <w:bottom w:val="single" w:sz="8" w:color="auto"/>
            </w:tcBorders>
          </w:tcPr>
          <w:p>
            <w:pPr>
              <w:spacing w:after="0"/>
              <w:rPr>
                <w:sz w:val="24"/>
                <w:szCs w:val="24"/>
                <w:color w:val="auto"/>
              </w:rPr>
            </w:pPr>
          </w:p>
        </w:tc>
        <w:tc>
          <w:tcPr>
            <w:tcW w:w="400" w:type="dxa"/>
            <w:vAlign w:val="bottom"/>
            <w:tcBorders>
              <w:top w:val="single" w:sz="8" w:color="CCEECC"/>
              <w:bottom w:val="single" w:sz="8" w:color="auto"/>
            </w:tcBorders>
          </w:tcPr>
          <w:p>
            <w:pPr>
              <w:spacing w:after="0"/>
              <w:rPr>
                <w:sz w:val="24"/>
                <w:szCs w:val="24"/>
                <w:color w:val="auto"/>
              </w:rPr>
            </w:pPr>
          </w:p>
        </w:tc>
        <w:tc>
          <w:tcPr>
            <w:tcW w:w="20" w:type="dxa"/>
            <w:vAlign w:val="bottom"/>
            <w:tcBorders>
              <w:top w:val="single" w:sz="8" w:color="CCEECC"/>
              <w:bottom w:val="single" w:sz="8" w:color="auto"/>
            </w:tcBorders>
          </w:tcPr>
          <w:p>
            <w:pPr>
              <w:spacing w:after="0"/>
              <w:rPr>
                <w:sz w:val="24"/>
                <w:szCs w:val="24"/>
                <w:color w:val="auto"/>
              </w:rPr>
            </w:pPr>
          </w:p>
        </w:tc>
        <w:tc>
          <w:tcPr>
            <w:tcW w:w="180" w:type="dxa"/>
            <w:vAlign w:val="bottom"/>
            <w:tcBorders>
              <w:top w:val="single" w:sz="8" w:color="CCEECC"/>
              <w:bottom w:val="single" w:sz="8" w:color="auto"/>
            </w:tcBorders>
          </w:tcPr>
          <w:p>
            <w:pPr>
              <w:spacing w:after="0"/>
              <w:rPr>
                <w:sz w:val="24"/>
                <w:szCs w:val="24"/>
                <w:color w:val="auto"/>
              </w:rPr>
            </w:pPr>
          </w:p>
        </w:tc>
        <w:tc>
          <w:tcPr>
            <w:tcW w:w="180" w:type="dxa"/>
            <w:vAlign w:val="bottom"/>
            <w:tcBorders>
              <w:top w:val="single" w:sz="8" w:color="CCEECC"/>
              <w:bottom w:val="single" w:sz="8" w:color="auto"/>
            </w:tcBorders>
          </w:tcPr>
          <w:p>
            <w:pPr>
              <w:spacing w:after="0"/>
              <w:rPr>
                <w:sz w:val="24"/>
                <w:szCs w:val="24"/>
                <w:color w:val="auto"/>
              </w:rPr>
            </w:pPr>
          </w:p>
        </w:tc>
        <w:tc>
          <w:tcPr>
            <w:tcW w:w="80" w:type="dxa"/>
            <w:vAlign w:val="bottom"/>
            <w:tcBorders>
              <w:top w:val="single" w:sz="8" w:color="CCEECC"/>
              <w:bottom w:val="single" w:sz="8" w:color="auto"/>
            </w:tcBorders>
          </w:tcPr>
          <w:p>
            <w:pPr>
              <w:spacing w:after="0"/>
              <w:rPr>
                <w:sz w:val="24"/>
                <w:szCs w:val="24"/>
                <w:color w:val="auto"/>
              </w:rPr>
            </w:pPr>
          </w:p>
        </w:tc>
        <w:tc>
          <w:tcPr>
            <w:tcW w:w="560" w:type="dxa"/>
            <w:vAlign w:val="bottom"/>
            <w:tcBorders>
              <w:top w:val="single" w:sz="8" w:color="CCEECC"/>
              <w:bottom w:val="single" w:sz="8" w:color="auto"/>
            </w:tcBorders>
          </w:tcPr>
          <w:p>
            <w:pPr>
              <w:spacing w:after="0"/>
              <w:rPr>
                <w:sz w:val="24"/>
                <w:szCs w:val="24"/>
                <w:color w:val="auto"/>
              </w:rPr>
            </w:pPr>
          </w:p>
        </w:tc>
        <w:tc>
          <w:tcPr>
            <w:tcW w:w="1840" w:type="dxa"/>
            <w:vAlign w:val="bottom"/>
            <w:tcBorders>
              <w:top w:val="single" w:sz="8" w:color="CCEECC"/>
              <w:bottom w:val="single" w:sz="8" w:color="auto"/>
            </w:tcBorders>
          </w:tcPr>
          <w:p>
            <w:pPr>
              <w:spacing w:after="0"/>
              <w:rPr>
                <w:sz w:val="24"/>
                <w:szCs w:val="24"/>
                <w:color w:val="auto"/>
              </w:rPr>
            </w:pPr>
          </w:p>
        </w:tc>
        <w:tc>
          <w:tcPr>
            <w:tcW w:w="180" w:type="dxa"/>
            <w:vAlign w:val="bottom"/>
            <w:tcBorders>
              <w:top w:val="single" w:sz="8" w:color="CCEECC"/>
              <w:bottom w:val="single" w:sz="8" w:color="auto"/>
            </w:tcBorders>
          </w:tcPr>
          <w:p>
            <w:pPr>
              <w:spacing w:after="0"/>
              <w:rPr>
                <w:sz w:val="24"/>
                <w:szCs w:val="24"/>
                <w:color w:val="auto"/>
              </w:rPr>
            </w:pPr>
          </w:p>
        </w:tc>
        <w:tc>
          <w:tcPr>
            <w:tcW w:w="120" w:type="dxa"/>
            <w:vAlign w:val="bottom"/>
            <w:tcBorders>
              <w:top w:val="single" w:sz="8" w:color="CCEECC"/>
              <w:bottom w:val="single" w:sz="8" w:color="auto"/>
            </w:tcBorders>
          </w:tcPr>
          <w:p>
            <w:pPr>
              <w:spacing w:after="0"/>
              <w:rPr>
                <w:sz w:val="24"/>
                <w:szCs w:val="24"/>
                <w:color w:val="auto"/>
              </w:rPr>
            </w:pPr>
          </w:p>
        </w:tc>
        <w:tc>
          <w:tcPr>
            <w:tcW w:w="1160" w:type="dxa"/>
            <w:vAlign w:val="bottom"/>
            <w:tcBorders>
              <w:top w:val="single" w:sz="8" w:color="CCEECC"/>
              <w:bottom w:val="single" w:sz="8" w:color="auto"/>
            </w:tcBorders>
          </w:tcPr>
          <w:p>
            <w:pPr>
              <w:spacing w:after="0"/>
              <w:rPr>
                <w:sz w:val="24"/>
                <w:szCs w:val="24"/>
                <w:color w:val="auto"/>
              </w:rPr>
            </w:pPr>
          </w:p>
        </w:tc>
        <w:tc>
          <w:tcPr>
            <w:tcW w:w="180" w:type="dxa"/>
            <w:vAlign w:val="bottom"/>
            <w:tcBorders>
              <w:top w:val="single" w:sz="8" w:color="CCEECC"/>
              <w:bottom w:val="single" w:sz="8" w:color="auto"/>
            </w:tcBorders>
          </w:tcPr>
          <w:p>
            <w:pPr>
              <w:spacing w:after="0"/>
              <w:rPr>
                <w:sz w:val="24"/>
                <w:szCs w:val="24"/>
                <w:color w:val="auto"/>
              </w:rPr>
            </w:pPr>
          </w:p>
        </w:tc>
        <w:tc>
          <w:tcPr>
            <w:tcW w:w="640" w:type="dxa"/>
            <w:vAlign w:val="bottom"/>
            <w:tcBorders>
              <w:top w:val="single" w:sz="8" w:color="CCEECC"/>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180" w:type="dxa"/>
            <w:vAlign w:val="bottom"/>
            <w:gridSpan w:val="10"/>
          </w:tcPr>
          <w:p>
            <w:pPr>
              <w:ind w:left="27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included in this Form 10-Q are as follows:</w:t>
      </w:r>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FF"/>
        </w:rPr>
      </w:pPr>
      <w:r>
        <w:rPr>
          <w:rFonts w:ascii="Arial" w:cs="Arial" w:eastAsia="Arial" w:hAnsi="Arial"/>
          <w:sz w:val="18"/>
          <w:szCs w:val="18"/>
          <w:color w:val="auto"/>
        </w:rPr>
        <w:t>F-1</w:t>
      </w:r>
      <w:r>
        <w:rPr>
          <w:sz w:val="20"/>
          <w:szCs w:val="20"/>
          <w:color w:val="auto"/>
        </w:rPr>
        <w:tab/>
      </w:r>
      <w:hyperlink w:anchor="page4">
        <w:r>
          <w:rPr>
            <w:rFonts w:ascii="Arial" w:cs="Arial" w:eastAsia="Arial" w:hAnsi="Arial"/>
            <w:sz w:val="16"/>
            <w:szCs w:val="16"/>
            <w:u w:val="single" w:color="auto"/>
            <w:color w:val="0000FF"/>
          </w:rPr>
          <w:t>Consolidated Balance Sheets as of March 31, 2013 and December 31, 2012 (unaudited);</w:t>
        </w:r>
      </w:hyperlink>
    </w:p>
    <w:p>
      <w:pPr>
        <w:spacing w:after="0" w:line="23" w:lineRule="exact"/>
        <w:rPr>
          <w:sz w:val="20"/>
          <w:szCs w:val="20"/>
          <w:color w:val="auto"/>
        </w:rPr>
      </w:pPr>
    </w:p>
    <w:p>
      <w:pPr>
        <w:spacing w:after="0"/>
        <w:tabs>
          <w:tab w:leader="none" w:pos="640" w:val="left"/>
        </w:tabs>
        <w:rPr>
          <w:rFonts w:ascii="Arial" w:cs="Arial" w:eastAsia="Arial" w:hAnsi="Arial"/>
          <w:sz w:val="16"/>
          <w:szCs w:val="16"/>
          <w:u w:val="single" w:color="auto"/>
          <w:color w:val="0000FF"/>
        </w:rPr>
      </w:pPr>
      <w:r>
        <w:rPr>
          <w:rFonts w:ascii="Arial" w:cs="Arial" w:eastAsia="Arial" w:hAnsi="Arial"/>
          <w:sz w:val="18"/>
          <w:szCs w:val="18"/>
          <w:color w:val="auto"/>
        </w:rPr>
        <w:t>F-2</w:t>
      </w:r>
      <w:r>
        <w:rPr>
          <w:sz w:val="20"/>
          <w:szCs w:val="20"/>
          <w:color w:val="auto"/>
        </w:rPr>
        <w:tab/>
      </w:r>
      <w:hyperlink w:anchor="page5">
        <w:r>
          <w:rPr>
            <w:rFonts w:ascii="Arial" w:cs="Arial" w:eastAsia="Arial" w:hAnsi="Arial"/>
            <w:sz w:val="16"/>
            <w:szCs w:val="16"/>
            <w:u w:val="single" w:color="auto"/>
            <w:color w:val="0000FF"/>
          </w:rPr>
          <w:t>Consolidated Statements of Operations for the three months ended March 31, 2013 and 2012 (unaudited);</w:t>
        </w:r>
      </w:hyperlink>
    </w:p>
    <w:p>
      <w:pPr>
        <w:spacing w:after="0" w:line="9" w:lineRule="exact"/>
        <w:rPr>
          <w:sz w:val="20"/>
          <w:szCs w:val="20"/>
          <w:color w:val="auto"/>
        </w:rPr>
      </w:pPr>
    </w:p>
    <w:p>
      <w:pPr>
        <w:spacing w:after="0"/>
        <w:tabs>
          <w:tab w:leader="none" w:pos="640" w:val="left"/>
        </w:tabs>
        <w:rPr>
          <w:rFonts w:ascii="Arial" w:cs="Arial" w:eastAsia="Arial" w:hAnsi="Arial"/>
          <w:sz w:val="16"/>
          <w:szCs w:val="16"/>
          <w:u w:val="single" w:color="auto"/>
          <w:color w:val="0000FF"/>
        </w:rPr>
      </w:pPr>
      <w:r>
        <w:rPr>
          <w:rFonts w:ascii="Arial" w:cs="Arial" w:eastAsia="Arial" w:hAnsi="Arial"/>
          <w:sz w:val="18"/>
          <w:szCs w:val="18"/>
          <w:color w:val="auto"/>
        </w:rPr>
        <w:t>F-3</w:t>
      </w:r>
      <w:r>
        <w:rPr>
          <w:sz w:val="20"/>
          <w:szCs w:val="20"/>
          <w:color w:val="auto"/>
        </w:rPr>
        <w:tab/>
      </w:r>
      <w:hyperlink w:anchor="page6">
        <w:r>
          <w:rPr>
            <w:rFonts w:ascii="Arial" w:cs="Arial" w:eastAsia="Arial" w:hAnsi="Arial"/>
            <w:sz w:val="16"/>
            <w:szCs w:val="16"/>
            <w:u w:val="single" w:color="auto"/>
            <w:color w:val="0000FF"/>
          </w:rPr>
          <w:t>Consolidated Statements of Cash Flow for the three months ended March 31, 2013 and 2012 (unaudited);</w:t>
        </w:r>
      </w:hyperlink>
    </w:p>
    <w:p>
      <w:pPr>
        <w:spacing w:after="0" w:line="9"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F-4</w:t>
      </w:r>
      <w:r>
        <w:rPr>
          <w:sz w:val="20"/>
          <w:szCs w:val="20"/>
          <w:color w:val="auto"/>
        </w:rPr>
        <w:tab/>
      </w:r>
      <w:hyperlink w:anchor="page7">
        <w:r>
          <w:rPr>
            <w:rFonts w:ascii="Arial" w:cs="Arial" w:eastAsia="Arial" w:hAnsi="Arial"/>
            <w:sz w:val="16"/>
            <w:szCs w:val="16"/>
            <w:u w:val="single" w:color="auto"/>
            <w:color w:val="0000EE"/>
          </w:rPr>
          <w:t>Notes to Consolidated Financial Statements</w:t>
        </w:r>
      </w:hyperlink>
      <w:r>
        <w:rPr>
          <w:rFonts w:ascii="Arial" w:cs="Arial" w:eastAsia="Arial" w:hAnsi="Arial"/>
          <w:sz w:val="16"/>
          <w:szCs w:val="16"/>
          <w:color w:val="000000"/>
        </w:rPr>
        <w: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March 31, 2013 are not necessarily indicative of the results that can be expected for the full year.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MARCH 31, 2013 AND DECEMBER 31, 2012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gridSpan w:val="3"/>
          </w:tcPr>
          <w:p>
            <w:pPr>
              <w:ind w:left="320"/>
              <w:spacing w:after="0"/>
              <w:rPr>
                <w:sz w:val="20"/>
                <w:szCs w:val="20"/>
                <w:color w:val="auto"/>
              </w:rPr>
            </w:pPr>
            <w:r>
              <w:rPr>
                <w:rFonts w:ascii="Arial" w:cs="Arial" w:eastAsia="Arial" w:hAnsi="Arial"/>
                <w:sz w:val="18"/>
                <w:szCs w:val="18"/>
                <w:color w:val="auto"/>
              </w:rPr>
              <w:t>March 31,</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560"/>
              <w:spacing w:after="0"/>
              <w:rPr>
                <w:sz w:val="20"/>
                <w:szCs w:val="20"/>
                <w:color w:val="auto"/>
              </w:rPr>
            </w:pPr>
            <w:r>
              <w:rPr>
                <w:rFonts w:ascii="Arial" w:cs="Arial" w:eastAsia="Arial" w:hAnsi="Arial"/>
                <w:sz w:val="18"/>
                <w:szCs w:val="18"/>
                <w:color w:val="auto"/>
              </w:rPr>
              <w:t>December 31,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200" w:type="dxa"/>
            <w:vAlign w:val="bottom"/>
            <w:vMerge w:val="restart"/>
          </w:tcPr>
          <w:p>
            <w:pPr>
              <w:ind w:left="228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2012</w:t>
            </w:r>
          </w:p>
        </w:tc>
        <w:tc>
          <w:tcPr>
            <w:tcW w:w="80" w:type="dxa"/>
            <w:vAlign w:val="bottom"/>
            <w:tcBorders>
              <w:bottom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80" w:type="dxa"/>
            <w:vAlign w:val="bottom"/>
          </w:tcPr>
          <w:p>
            <w:pPr>
              <w:spacing w:after="0"/>
              <w:rPr>
                <w:sz w:val="16"/>
                <w:szCs w:val="16"/>
                <w:color w:val="auto"/>
              </w:rPr>
            </w:pPr>
          </w:p>
        </w:tc>
        <w:tc>
          <w:tcPr>
            <w:tcW w:w="5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ind w:left="86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CC"/>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260,394</w:t>
            </w:r>
          </w:p>
        </w:tc>
        <w:tc>
          <w:tcPr>
            <w:tcW w:w="1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3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284,263</w:t>
            </w: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660,669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616,798</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CC"/>
          </w:tcPr>
          <w:p>
            <w:pPr>
              <w:spacing w:after="0"/>
              <w:rPr>
                <w:sz w:val="19"/>
                <w:szCs w:val="19"/>
                <w:color w:val="auto"/>
              </w:rPr>
            </w:pPr>
          </w:p>
        </w:tc>
        <w:tc>
          <w:tcPr>
            <w:tcW w:w="380" w:type="dxa"/>
            <w:vAlign w:val="bottom"/>
            <w:tcBorders>
              <w:bottom w:val="single" w:sz="8" w:color="auto"/>
            </w:tcBorders>
            <w:shd w:val="clear" w:color="auto" w:fill="CCEECC"/>
          </w:tcPr>
          <w:p>
            <w:pPr>
              <w:spacing w:after="0"/>
              <w:rPr>
                <w:sz w:val="19"/>
                <w:szCs w:val="19"/>
                <w:color w:val="auto"/>
              </w:rPr>
            </w:pPr>
          </w:p>
        </w:tc>
        <w:tc>
          <w:tcPr>
            <w:tcW w:w="16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32,336</w:t>
            </w:r>
          </w:p>
        </w:tc>
        <w:tc>
          <w:tcPr>
            <w:tcW w:w="10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320" w:type="dxa"/>
            <w:vAlign w:val="bottom"/>
            <w:tcBorders>
              <w:bottom w:val="single" w:sz="8" w:color="auto"/>
            </w:tcBorders>
            <w:shd w:val="clear" w:color="auto" w:fill="CCEECC"/>
          </w:tcPr>
          <w:p>
            <w:pPr>
              <w:spacing w:after="0"/>
              <w:rPr>
                <w:sz w:val="19"/>
                <w:szCs w:val="19"/>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68,158</w:t>
            </w:r>
          </w:p>
        </w:tc>
        <w:tc>
          <w:tcPr>
            <w:tcW w:w="80" w:type="dxa"/>
            <w:vAlign w:val="bottom"/>
            <w:shd w:val="clear" w:color="auto" w:fill="CCEECC"/>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20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C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953,399</w:t>
            </w:r>
          </w:p>
        </w:tc>
        <w:tc>
          <w:tcPr>
            <w:tcW w:w="100" w:type="dxa"/>
            <w:vAlign w:val="bottom"/>
            <w:tcBorders>
              <w:bottom w:val="single" w:sz="8" w:color="CCEECC"/>
            </w:tcBorders>
          </w:tcPr>
          <w:p>
            <w:pPr>
              <w:spacing w:after="0"/>
              <w:rPr>
                <w:sz w:val="18"/>
                <w:szCs w:val="18"/>
                <w:color w:val="auto"/>
              </w:rPr>
            </w:pPr>
          </w:p>
        </w:tc>
        <w:tc>
          <w:tcPr>
            <w:tcW w:w="40" w:type="dxa"/>
            <w:vAlign w:val="bottom"/>
            <w:tcBorders>
              <w:bottom w:val="single" w:sz="8" w:color="CCEECC"/>
            </w:tcBorders>
          </w:tcPr>
          <w:p>
            <w:pPr>
              <w:spacing w:after="0"/>
              <w:rPr>
                <w:sz w:val="18"/>
                <w:szCs w:val="18"/>
                <w:color w:val="auto"/>
              </w:rPr>
            </w:pPr>
          </w:p>
        </w:tc>
        <w:tc>
          <w:tcPr>
            <w:tcW w:w="40" w:type="dxa"/>
            <w:vAlign w:val="bottom"/>
            <w:tcBorders>
              <w:bottom w:val="single" w:sz="8" w:color="CCEE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969,219</w:t>
            </w:r>
          </w:p>
        </w:tc>
        <w:tc>
          <w:tcPr>
            <w:tcW w:w="80" w:type="dxa"/>
            <w:vAlign w:val="bottom"/>
            <w:tcBorders>
              <w:bottom w:val="single" w:sz="8" w:color="CCEECC"/>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5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380" w:type="dxa"/>
            <w:vAlign w:val="bottom"/>
            <w:shd w:val="clear" w:color="auto" w:fill="CCEECC"/>
          </w:tcPr>
          <w:p>
            <w:pPr>
              <w:spacing w:after="0"/>
              <w:rPr>
                <w:sz w:val="18"/>
                <w:szCs w:val="18"/>
                <w:color w:val="auto"/>
              </w:rPr>
            </w:pPr>
          </w:p>
        </w:tc>
        <w:tc>
          <w:tcPr>
            <w:tcW w:w="16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vMerge w:val="continue"/>
          </w:tcPr>
          <w:p>
            <w:pPr>
              <w:spacing w:after="0"/>
              <w:rPr>
                <w:sz w:val="19"/>
                <w:szCs w:val="19"/>
                <w:color w:val="auto"/>
              </w:rPr>
            </w:pPr>
          </w:p>
        </w:tc>
        <w:tc>
          <w:tcPr>
            <w:tcW w:w="520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CCEEC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19,278</w:t>
            </w:r>
          </w:p>
        </w:tc>
        <w:tc>
          <w:tcPr>
            <w:tcW w:w="100" w:type="dxa"/>
            <w:vAlign w:val="bottom"/>
            <w:tcBorders>
              <w:bottom w:val="single" w:sz="8" w:color="CCEECC"/>
            </w:tcBorders>
          </w:tcPr>
          <w:p>
            <w:pPr>
              <w:spacing w:after="0"/>
              <w:rPr>
                <w:sz w:val="19"/>
                <w:szCs w:val="19"/>
                <w:color w:val="auto"/>
              </w:rPr>
            </w:pPr>
          </w:p>
        </w:tc>
        <w:tc>
          <w:tcPr>
            <w:tcW w:w="40" w:type="dxa"/>
            <w:vAlign w:val="bottom"/>
            <w:tcBorders>
              <w:bottom w:val="single" w:sz="8" w:color="CCEECC"/>
            </w:tcBorders>
          </w:tcPr>
          <w:p>
            <w:pPr>
              <w:spacing w:after="0"/>
              <w:rPr>
                <w:sz w:val="19"/>
                <w:szCs w:val="19"/>
                <w:color w:val="auto"/>
              </w:rPr>
            </w:pPr>
          </w:p>
        </w:tc>
        <w:tc>
          <w:tcPr>
            <w:tcW w:w="40" w:type="dxa"/>
            <w:vAlign w:val="bottom"/>
            <w:tcBorders>
              <w:bottom w:val="single" w:sz="8" w:color="CCEE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20,685</w:t>
            </w:r>
          </w:p>
        </w:tc>
        <w:tc>
          <w:tcPr>
            <w:tcW w:w="80" w:type="dxa"/>
            <w:vAlign w:val="bottom"/>
            <w:tcBorders>
              <w:bottom w:val="single" w:sz="8" w:color="CCEECC"/>
            </w:tcBorders>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5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380" w:type="dxa"/>
            <w:vAlign w:val="bottom"/>
            <w:shd w:val="clear" w:color="auto" w:fill="CCEECC"/>
          </w:tcPr>
          <w:p>
            <w:pPr>
              <w:spacing w:after="0"/>
              <w:rPr>
                <w:sz w:val="18"/>
                <w:szCs w:val="18"/>
                <w:color w:val="auto"/>
              </w:rPr>
            </w:pPr>
          </w:p>
        </w:tc>
        <w:tc>
          <w:tcPr>
            <w:tcW w:w="16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Patent rights, net</w:t>
            </w:r>
          </w:p>
        </w:tc>
        <w:tc>
          <w:tcPr>
            <w:tcW w:w="140" w:type="dxa"/>
            <w:vAlign w:val="bottom"/>
            <w:shd w:val="clear" w:color="auto" w:fill="CCEECC"/>
          </w:tcPr>
          <w:p>
            <w:pPr>
              <w:spacing w:after="0"/>
              <w:rPr>
                <w:sz w:val="18"/>
                <w:szCs w:val="18"/>
                <w:color w:val="auto"/>
              </w:rPr>
            </w:pPr>
          </w:p>
        </w:tc>
        <w:tc>
          <w:tcPr>
            <w:tcW w:w="380" w:type="dxa"/>
            <w:vAlign w:val="bottom"/>
            <w:shd w:val="clear" w:color="auto" w:fill="CCEECC"/>
          </w:tcPr>
          <w:p>
            <w:pPr>
              <w:spacing w:after="0"/>
              <w:rPr>
                <w:sz w:val="18"/>
                <w:szCs w:val="18"/>
                <w:color w:val="auto"/>
              </w:rPr>
            </w:pPr>
          </w:p>
        </w:tc>
        <w:tc>
          <w:tcPr>
            <w:tcW w:w="1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809,472</w:t>
            </w:r>
          </w:p>
        </w:tc>
        <w:tc>
          <w:tcPr>
            <w:tcW w:w="1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793,236</w:t>
            </w: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Web development costs, net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354,643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387,215</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Security deposit</w:t>
            </w:r>
          </w:p>
        </w:tc>
        <w:tc>
          <w:tcPr>
            <w:tcW w:w="140" w:type="dxa"/>
            <w:vAlign w:val="bottom"/>
            <w:shd w:val="clear" w:color="auto" w:fill="CCEECC"/>
          </w:tcPr>
          <w:p>
            <w:pPr>
              <w:spacing w:after="0"/>
              <w:rPr>
                <w:sz w:val="19"/>
                <w:szCs w:val="19"/>
                <w:color w:val="auto"/>
              </w:rPr>
            </w:pPr>
          </w:p>
        </w:tc>
        <w:tc>
          <w:tcPr>
            <w:tcW w:w="380" w:type="dxa"/>
            <w:vAlign w:val="bottom"/>
            <w:tcBorders>
              <w:bottom w:val="single" w:sz="8" w:color="auto"/>
            </w:tcBorders>
            <w:shd w:val="clear" w:color="auto" w:fill="CCEECC"/>
          </w:tcPr>
          <w:p>
            <w:pPr>
              <w:spacing w:after="0"/>
              <w:rPr>
                <w:sz w:val="19"/>
                <w:szCs w:val="19"/>
                <w:color w:val="auto"/>
              </w:rPr>
            </w:pPr>
          </w:p>
        </w:tc>
        <w:tc>
          <w:tcPr>
            <w:tcW w:w="16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5,049</w:t>
            </w:r>
          </w:p>
        </w:tc>
        <w:tc>
          <w:tcPr>
            <w:tcW w:w="10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320" w:type="dxa"/>
            <w:vAlign w:val="bottom"/>
            <w:tcBorders>
              <w:bottom w:val="single" w:sz="8" w:color="auto"/>
            </w:tcBorders>
            <w:shd w:val="clear" w:color="auto" w:fill="CCEECC"/>
          </w:tcPr>
          <w:p>
            <w:pPr>
              <w:spacing w:after="0"/>
              <w:rPr>
                <w:sz w:val="19"/>
                <w:szCs w:val="19"/>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CC"/>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20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Total Other Assets</w:t>
            </w:r>
          </w:p>
        </w:tc>
        <w:tc>
          <w:tcPr>
            <w:tcW w:w="140" w:type="dxa"/>
            <w:vAlign w:val="bottom"/>
            <w:tcBorders>
              <w:bottom w:val="single" w:sz="8" w:color="CCEEC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1,169,164</w:t>
            </w:r>
          </w:p>
        </w:tc>
        <w:tc>
          <w:tcPr>
            <w:tcW w:w="100" w:type="dxa"/>
            <w:vAlign w:val="bottom"/>
            <w:tcBorders>
              <w:bottom w:val="single" w:sz="8" w:color="CCEECC"/>
            </w:tcBorders>
          </w:tcPr>
          <w:p>
            <w:pPr>
              <w:spacing w:after="0"/>
              <w:rPr>
                <w:sz w:val="18"/>
                <w:szCs w:val="18"/>
                <w:color w:val="auto"/>
              </w:rPr>
            </w:pPr>
          </w:p>
        </w:tc>
        <w:tc>
          <w:tcPr>
            <w:tcW w:w="40" w:type="dxa"/>
            <w:vAlign w:val="bottom"/>
            <w:tcBorders>
              <w:bottom w:val="single" w:sz="8" w:color="CCEECC"/>
            </w:tcBorders>
          </w:tcPr>
          <w:p>
            <w:pPr>
              <w:spacing w:after="0"/>
              <w:rPr>
                <w:sz w:val="18"/>
                <w:szCs w:val="18"/>
                <w:color w:val="auto"/>
              </w:rPr>
            </w:pPr>
          </w:p>
        </w:tc>
        <w:tc>
          <w:tcPr>
            <w:tcW w:w="40" w:type="dxa"/>
            <w:vAlign w:val="bottom"/>
            <w:tcBorders>
              <w:bottom w:val="single" w:sz="8" w:color="CCEE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1,185,500</w:t>
            </w:r>
          </w:p>
        </w:tc>
        <w:tc>
          <w:tcPr>
            <w:tcW w:w="80" w:type="dxa"/>
            <w:vAlign w:val="bottom"/>
            <w:tcBorders>
              <w:bottom w:val="single" w:sz="8" w:color="CCEECC"/>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5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380" w:type="dxa"/>
            <w:vAlign w:val="bottom"/>
            <w:shd w:val="clear" w:color="auto" w:fill="CCEECC"/>
          </w:tcPr>
          <w:p>
            <w:pPr>
              <w:spacing w:after="0"/>
              <w:rPr>
                <w:sz w:val="18"/>
                <w:szCs w:val="18"/>
                <w:color w:val="auto"/>
              </w:rPr>
            </w:pPr>
          </w:p>
        </w:tc>
        <w:tc>
          <w:tcPr>
            <w:tcW w:w="16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80" w:type="dxa"/>
            <w:vAlign w:val="bottom"/>
            <w:vMerge w:val="continue"/>
          </w:tcPr>
          <w:p>
            <w:pPr>
              <w:spacing w:after="0"/>
              <w:rPr>
                <w:sz w:val="24"/>
                <w:szCs w:val="24"/>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TOTAL ASSETS</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2,141,841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2,175,404</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5200" w:type="dxa"/>
            <w:vAlign w:val="bottom"/>
            <w:tcBorders>
              <w:top w:val="single" w:sz="8" w:color="CCEECC"/>
            </w:tcBorders>
            <w:shd w:val="clear" w:color="auto" w:fill="CCEECC"/>
          </w:tcPr>
          <w:p>
            <w:pPr>
              <w:spacing w:after="0"/>
              <w:rPr>
                <w:sz w:val="17"/>
                <w:szCs w:val="17"/>
                <w:color w:val="auto"/>
              </w:rPr>
            </w:pPr>
          </w:p>
        </w:tc>
        <w:tc>
          <w:tcPr>
            <w:tcW w:w="140" w:type="dxa"/>
            <w:vAlign w:val="bottom"/>
            <w:tcBorders>
              <w:top w:val="single" w:sz="8" w:color="CCEECC"/>
            </w:tcBorders>
            <w:shd w:val="clear" w:color="auto" w:fill="CCEECC"/>
          </w:tcPr>
          <w:p>
            <w:pPr>
              <w:spacing w:after="0"/>
              <w:rPr>
                <w:sz w:val="17"/>
                <w:szCs w:val="17"/>
                <w:color w:val="auto"/>
              </w:rPr>
            </w:pPr>
          </w:p>
        </w:tc>
        <w:tc>
          <w:tcPr>
            <w:tcW w:w="380" w:type="dxa"/>
            <w:vAlign w:val="bottom"/>
            <w:tcBorders>
              <w:top w:val="single" w:sz="8" w:color="auto"/>
            </w:tcBorders>
            <w:shd w:val="clear" w:color="auto" w:fill="CCEECC"/>
          </w:tcPr>
          <w:p>
            <w:pPr>
              <w:spacing w:after="0"/>
              <w:rPr>
                <w:sz w:val="17"/>
                <w:szCs w:val="17"/>
                <w:color w:val="auto"/>
              </w:rPr>
            </w:pPr>
          </w:p>
        </w:tc>
        <w:tc>
          <w:tcPr>
            <w:tcW w:w="1660" w:type="dxa"/>
            <w:vAlign w:val="bottom"/>
            <w:tcBorders>
              <w:top w:val="single" w:sz="8" w:color="auto"/>
            </w:tcBorders>
            <w:shd w:val="clear" w:color="auto" w:fill="CCEECC"/>
          </w:tcPr>
          <w:p>
            <w:pPr>
              <w:spacing w:after="0"/>
              <w:rPr>
                <w:sz w:val="17"/>
                <w:szCs w:val="17"/>
                <w:color w:val="auto"/>
              </w:rPr>
            </w:pPr>
          </w:p>
        </w:tc>
        <w:tc>
          <w:tcPr>
            <w:tcW w:w="100" w:type="dxa"/>
            <w:vAlign w:val="bottom"/>
            <w:tcBorders>
              <w:top w:val="single" w:sz="8" w:color="CCEECC"/>
            </w:tcBorders>
            <w:shd w:val="clear" w:color="auto" w:fill="CCEECC"/>
          </w:tcPr>
          <w:p>
            <w:pPr>
              <w:spacing w:after="0"/>
              <w:rPr>
                <w:sz w:val="17"/>
                <w:szCs w:val="17"/>
                <w:color w:val="auto"/>
              </w:rPr>
            </w:pPr>
          </w:p>
        </w:tc>
        <w:tc>
          <w:tcPr>
            <w:tcW w:w="40" w:type="dxa"/>
            <w:vAlign w:val="bottom"/>
            <w:tcBorders>
              <w:top w:val="single" w:sz="8" w:color="CCEECC"/>
            </w:tcBorders>
            <w:shd w:val="clear" w:color="auto" w:fill="CCEECC"/>
          </w:tcPr>
          <w:p>
            <w:pPr>
              <w:spacing w:after="0"/>
              <w:rPr>
                <w:sz w:val="17"/>
                <w:szCs w:val="17"/>
                <w:color w:val="auto"/>
              </w:rPr>
            </w:pPr>
          </w:p>
        </w:tc>
        <w:tc>
          <w:tcPr>
            <w:tcW w:w="40" w:type="dxa"/>
            <w:vAlign w:val="bottom"/>
            <w:tcBorders>
              <w:top w:val="single" w:sz="8" w:color="CCEECC"/>
            </w:tcBorders>
            <w:shd w:val="clear" w:color="auto" w:fill="CCEECC"/>
          </w:tcPr>
          <w:p>
            <w:pPr>
              <w:spacing w:after="0"/>
              <w:rPr>
                <w:sz w:val="17"/>
                <w:szCs w:val="17"/>
                <w:color w:val="auto"/>
              </w:rPr>
            </w:pPr>
          </w:p>
        </w:tc>
        <w:tc>
          <w:tcPr>
            <w:tcW w:w="320" w:type="dxa"/>
            <w:vAlign w:val="bottom"/>
            <w:tcBorders>
              <w:top w:val="single" w:sz="8" w:color="auto"/>
            </w:tcBorders>
            <w:shd w:val="clear" w:color="auto" w:fill="CCEECC"/>
          </w:tcPr>
          <w:p>
            <w:pPr>
              <w:spacing w:after="0"/>
              <w:rPr>
                <w:sz w:val="17"/>
                <w:szCs w:val="17"/>
                <w:color w:val="auto"/>
              </w:rPr>
            </w:pPr>
          </w:p>
        </w:tc>
        <w:tc>
          <w:tcPr>
            <w:tcW w:w="1720" w:type="dxa"/>
            <w:vAlign w:val="bottom"/>
            <w:tcBorders>
              <w:top w:val="single" w:sz="8" w:color="auto"/>
            </w:tcBorders>
            <w:shd w:val="clear" w:color="auto" w:fill="CCEECC"/>
          </w:tcPr>
          <w:p>
            <w:pPr>
              <w:spacing w:after="0"/>
              <w:rPr>
                <w:sz w:val="17"/>
                <w:szCs w:val="17"/>
                <w:color w:val="auto"/>
              </w:rPr>
            </w:pPr>
          </w:p>
        </w:tc>
        <w:tc>
          <w:tcPr>
            <w:tcW w:w="80" w:type="dxa"/>
            <w:vAlign w:val="bottom"/>
            <w:tcBorders>
              <w:top w:val="single" w:sz="8" w:color="CCEECC"/>
            </w:tcBorders>
            <w:shd w:val="clear" w:color="auto" w:fill="CCEECC"/>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00" w:type="dxa"/>
            <w:vAlign w:val="bottom"/>
          </w:tcPr>
          <w:p>
            <w:pPr>
              <w:ind w:left="66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5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380" w:type="dxa"/>
            <w:vAlign w:val="bottom"/>
            <w:shd w:val="clear" w:color="auto" w:fill="CCEECC"/>
          </w:tcPr>
          <w:p>
            <w:pPr>
              <w:spacing w:after="0"/>
              <w:rPr>
                <w:sz w:val="18"/>
                <w:szCs w:val="18"/>
                <w:color w:val="auto"/>
              </w:rPr>
            </w:pPr>
          </w:p>
        </w:tc>
        <w:tc>
          <w:tcPr>
            <w:tcW w:w="16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Accounts payable - trade</w:t>
            </w:r>
          </w:p>
        </w:tc>
        <w:tc>
          <w:tcPr>
            <w:tcW w:w="520" w:type="dxa"/>
            <w:vAlign w:val="bottom"/>
            <w:gridSpan w:val="2"/>
            <w:shd w:val="clear" w:color="auto" w:fill="CCEECC"/>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56,686</w:t>
            </w:r>
          </w:p>
        </w:tc>
        <w:tc>
          <w:tcPr>
            <w:tcW w:w="1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3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54,693</w:t>
            </w: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Accounts payable - related party</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570,000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570,000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CC"/>
          </w:tcPr>
          <w:p>
            <w:pPr>
              <w:spacing w:after="0"/>
              <w:rPr>
                <w:sz w:val="18"/>
                <w:szCs w:val="18"/>
                <w:color w:val="auto"/>
              </w:rPr>
            </w:pPr>
          </w:p>
        </w:tc>
        <w:tc>
          <w:tcPr>
            <w:tcW w:w="380" w:type="dxa"/>
            <w:vAlign w:val="bottom"/>
            <w:shd w:val="clear" w:color="auto" w:fill="CCEECC"/>
          </w:tcPr>
          <w:p>
            <w:pPr>
              <w:spacing w:after="0"/>
              <w:rPr>
                <w:sz w:val="18"/>
                <w:szCs w:val="18"/>
                <w:color w:val="auto"/>
              </w:rPr>
            </w:pPr>
          </w:p>
        </w:tc>
        <w:tc>
          <w:tcPr>
            <w:tcW w:w="1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43,750</w:t>
            </w:r>
          </w:p>
        </w:tc>
        <w:tc>
          <w:tcPr>
            <w:tcW w:w="1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200" w:type="dxa"/>
            <w:vAlign w:val="bottom"/>
            <w:tcBorders>
              <w:bottom w:val="single" w:sz="8" w:color="CCEECC"/>
            </w:tcBorders>
          </w:tcPr>
          <w:p>
            <w:pPr>
              <w:ind w:left="30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CCEEC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80,772</w:t>
            </w:r>
          </w:p>
        </w:tc>
        <w:tc>
          <w:tcPr>
            <w:tcW w:w="100" w:type="dxa"/>
            <w:vAlign w:val="bottom"/>
            <w:tcBorders>
              <w:bottom w:val="single" w:sz="8" w:color="CCEECC"/>
            </w:tcBorders>
          </w:tcPr>
          <w:p>
            <w:pPr>
              <w:spacing w:after="0"/>
              <w:rPr>
                <w:sz w:val="19"/>
                <w:szCs w:val="19"/>
                <w:color w:val="auto"/>
              </w:rPr>
            </w:pPr>
          </w:p>
        </w:tc>
        <w:tc>
          <w:tcPr>
            <w:tcW w:w="40" w:type="dxa"/>
            <w:vAlign w:val="bottom"/>
            <w:tcBorders>
              <w:bottom w:val="single" w:sz="8" w:color="CCEECC"/>
            </w:tcBorders>
          </w:tcPr>
          <w:p>
            <w:pPr>
              <w:spacing w:after="0"/>
              <w:rPr>
                <w:sz w:val="19"/>
                <w:szCs w:val="19"/>
                <w:color w:val="auto"/>
              </w:rPr>
            </w:pPr>
          </w:p>
        </w:tc>
        <w:tc>
          <w:tcPr>
            <w:tcW w:w="40" w:type="dxa"/>
            <w:vAlign w:val="bottom"/>
            <w:tcBorders>
              <w:bottom w:val="single" w:sz="8" w:color="CCEE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49,252</w:t>
            </w:r>
          </w:p>
        </w:tc>
        <w:tc>
          <w:tcPr>
            <w:tcW w:w="80" w:type="dxa"/>
            <w:vAlign w:val="bottom"/>
            <w:tcBorders>
              <w:bottom w:val="single" w:sz="8" w:color="CCEECC"/>
            </w:tcBorders>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CC"/>
          </w:tcPr>
          <w:p>
            <w:pPr>
              <w:spacing w:after="0"/>
              <w:rPr>
                <w:sz w:val="18"/>
                <w:szCs w:val="18"/>
                <w:color w:val="auto"/>
              </w:rPr>
            </w:pPr>
          </w:p>
        </w:tc>
        <w:tc>
          <w:tcPr>
            <w:tcW w:w="380" w:type="dxa"/>
            <w:vAlign w:val="bottom"/>
            <w:tcBorders>
              <w:bottom w:val="single" w:sz="8" w:color="auto"/>
            </w:tcBorders>
            <w:shd w:val="clear" w:color="auto" w:fill="CCEECC"/>
          </w:tcPr>
          <w:p>
            <w:pPr>
              <w:spacing w:after="0"/>
              <w:rPr>
                <w:sz w:val="18"/>
                <w:szCs w:val="18"/>
                <w:color w:val="auto"/>
              </w:rPr>
            </w:pPr>
          </w:p>
        </w:tc>
        <w:tc>
          <w:tcPr>
            <w:tcW w:w="16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751,208</w:t>
            </w:r>
          </w:p>
        </w:tc>
        <w:tc>
          <w:tcPr>
            <w:tcW w:w="1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320" w:type="dxa"/>
            <w:vAlign w:val="bottom"/>
            <w:tcBorders>
              <w:bottom w:val="single" w:sz="8" w:color="auto"/>
            </w:tcBorders>
            <w:shd w:val="clear" w:color="auto" w:fill="CCEECC"/>
          </w:tcPr>
          <w:p>
            <w:pPr>
              <w:spacing w:after="0"/>
              <w:rPr>
                <w:sz w:val="18"/>
                <w:szCs w:val="18"/>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679,945</w:t>
            </w: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200" w:type="dxa"/>
            <w:vAlign w:val="bottom"/>
            <w:shd w:val="clear" w:color="auto" w:fill="CCEECC"/>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CC"/>
          </w:tcPr>
          <w:p>
            <w:pPr>
              <w:spacing w:after="0"/>
              <w:rPr>
                <w:sz w:val="18"/>
                <w:szCs w:val="18"/>
                <w:color w:val="auto"/>
              </w:rPr>
            </w:pPr>
          </w:p>
        </w:tc>
        <w:tc>
          <w:tcPr>
            <w:tcW w:w="380" w:type="dxa"/>
            <w:vAlign w:val="bottom"/>
            <w:shd w:val="clear" w:color="auto" w:fill="CCEECC"/>
          </w:tcPr>
          <w:p>
            <w:pPr>
              <w:spacing w:after="0"/>
              <w:rPr>
                <w:sz w:val="18"/>
                <w:szCs w:val="18"/>
                <w:color w:val="auto"/>
              </w:rPr>
            </w:pPr>
          </w:p>
        </w:tc>
        <w:tc>
          <w:tcPr>
            <w:tcW w:w="16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5200" w:type="dxa"/>
            <w:vAlign w:val="bottom"/>
          </w:tcPr>
          <w:p>
            <w:pPr>
              <w:ind w:left="300"/>
              <w:spacing w:after="0" w:line="201" w:lineRule="exact"/>
              <w:rPr>
                <w:sz w:val="20"/>
                <w:szCs w:val="20"/>
                <w:color w:val="auto"/>
              </w:rPr>
            </w:pPr>
            <w:r>
              <w:rPr>
                <w:rFonts w:ascii="Arial" w:cs="Arial" w:eastAsia="Arial" w:hAnsi="Arial"/>
                <w:sz w:val="18"/>
                <w:szCs w:val="18"/>
                <w:color w:val="auto"/>
                <w:w w:val="94"/>
              </w:rPr>
              <w:t>Common stock, $.001 par value, 500,000,000 shares authorized,</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14,232,496 and 14,232,496 shares issued and outstanding</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14,232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14,232</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5200" w:type="dxa"/>
            <w:vAlign w:val="bottom"/>
            <w:shd w:val="clear" w:color="auto" w:fill="CCEECC"/>
          </w:tcPr>
          <w:p>
            <w:pPr>
              <w:ind w:left="300"/>
              <w:spacing w:after="0" w:line="201" w:lineRule="exact"/>
              <w:rPr>
                <w:sz w:val="20"/>
                <w:szCs w:val="20"/>
                <w:color w:val="auto"/>
              </w:rPr>
            </w:pPr>
            <w:r>
              <w:rPr>
                <w:rFonts w:ascii="Arial" w:cs="Arial" w:eastAsia="Arial" w:hAnsi="Arial"/>
                <w:sz w:val="18"/>
                <w:szCs w:val="18"/>
                <w:color w:val="auto"/>
                <w:w w:val="91"/>
              </w:rPr>
              <w:t>Preferred stock, $.001 par value, 10,000,000 shares authorized, 65</w:t>
            </w:r>
          </w:p>
        </w:tc>
        <w:tc>
          <w:tcPr>
            <w:tcW w:w="140" w:type="dxa"/>
            <w:vAlign w:val="bottom"/>
            <w:shd w:val="clear" w:color="auto" w:fill="CCEECC"/>
          </w:tcPr>
          <w:p>
            <w:pPr>
              <w:spacing w:after="0"/>
              <w:rPr>
                <w:sz w:val="17"/>
                <w:szCs w:val="17"/>
                <w:color w:val="auto"/>
              </w:rPr>
            </w:pPr>
          </w:p>
        </w:tc>
        <w:tc>
          <w:tcPr>
            <w:tcW w:w="380" w:type="dxa"/>
            <w:vAlign w:val="bottom"/>
            <w:shd w:val="clear" w:color="auto" w:fill="CCEECC"/>
          </w:tcPr>
          <w:p>
            <w:pPr>
              <w:spacing w:after="0"/>
              <w:rPr>
                <w:sz w:val="17"/>
                <w:szCs w:val="17"/>
                <w:color w:val="auto"/>
              </w:rPr>
            </w:pPr>
          </w:p>
        </w:tc>
        <w:tc>
          <w:tcPr>
            <w:tcW w:w="166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7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shares issued and outstanding</w:t>
            </w:r>
          </w:p>
        </w:tc>
        <w:tc>
          <w:tcPr>
            <w:tcW w:w="140" w:type="dxa"/>
            <w:vAlign w:val="bottom"/>
            <w:shd w:val="clear" w:color="auto" w:fill="CCEECC"/>
          </w:tcPr>
          <w:p>
            <w:pPr>
              <w:spacing w:after="0"/>
              <w:rPr>
                <w:sz w:val="20"/>
                <w:szCs w:val="20"/>
                <w:color w:val="auto"/>
              </w:rPr>
            </w:pPr>
          </w:p>
        </w:tc>
        <w:tc>
          <w:tcPr>
            <w:tcW w:w="380" w:type="dxa"/>
            <w:vAlign w:val="bottom"/>
            <w:shd w:val="clear" w:color="auto" w:fill="CCEECC"/>
          </w:tcPr>
          <w:p>
            <w:pPr>
              <w:spacing w:after="0"/>
              <w:rPr>
                <w:sz w:val="20"/>
                <w:szCs w:val="20"/>
                <w:color w:val="auto"/>
              </w:rPr>
            </w:pPr>
          </w:p>
        </w:tc>
        <w:tc>
          <w:tcPr>
            <w:tcW w:w="1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320" w:type="dxa"/>
            <w:vAlign w:val="bottom"/>
            <w:shd w:val="clear" w:color="auto" w:fill="CCEECC"/>
          </w:tcPr>
          <w:p>
            <w:pPr>
              <w:spacing w:after="0"/>
              <w:rPr>
                <w:sz w:val="20"/>
                <w:szCs w:val="20"/>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Stock warrants</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20,058,051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20,058,051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Additional paid-in-capital</w:t>
            </w:r>
          </w:p>
        </w:tc>
        <w:tc>
          <w:tcPr>
            <w:tcW w:w="140" w:type="dxa"/>
            <w:vAlign w:val="bottom"/>
            <w:shd w:val="clear" w:color="auto" w:fill="CCEECC"/>
          </w:tcPr>
          <w:p>
            <w:pPr>
              <w:spacing w:after="0"/>
              <w:rPr>
                <w:sz w:val="18"/>
                <w:szCs w:val="18"/>
                <w:color w:val="auto"/>
              </w:rPr>
            </w:pPr>
          </w:p>
        </w:tc>
        <w:tc>
          <w:tcPr>
            <w:tcW w:w="380" w:type="dxa"/>
            <w:vAlign w:val="bottom"/>
            <w:shd w:val="clear" w:color="auto" w:fill="CCEECC"/>
          </w:tcPr>
          <w:p>
            <w:pPr>
              <w:spacing w:after="0"/>
              <w:rPr>
                <w:sz w:val="18"/>
                <w:szCs w:val="18"/>
                <w:color w:val="auto"/>
              </w:rPr>
            </w:pPr>
          </w:p>
        </w:tc>
        <w:tc>
          <w:tcPr>
            <w:tcW w:w="1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6,164,666</w:t>
            </w:r>
          </w:p>
        </w:tc>
        <w:tc>
          <w:tcPr>
            <w:tcW w:w="1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6,164,666</w:t>
            </w: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(24,846,316)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(24,741,490)</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20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CC"/>
            </w:tcBorders>
            <w:shd w:val="clear" w:color="auto" w:fill="CCEECC"/>
          </w:tcPr>
          <w:p>
            <w:pPr>
              <w:spacing w:after="0"/>
              <w:rPr>
                <w:sz w:val="18"/>
                <w:szCs w:val="18"/>
                <w:color w:val="auto"/>
              </w:rPr>
            </w:pPr>
          </w:p>
        </w:tc>
        <w:tc>
          <w:tcPr>
            <w:tcW w:w="380" w:type="dxa"/>
            <w:vAlign w:val="bottom"/>
            <w:tcBorders>
              <w:top w:val="single" w:sz="8" w:color="auto"/>
              <w:bottom w:val="single" w:sz="8" w:color="auto"/>
            </w:tcBorders>
            <w:shd w:val="clear" w:color="auto" w:fill="CCEECC"/>
          </w:tcPr>
          <w:p>
            <w:pPr>
              <w:spacing w:after="0"/>
              <w:rPr>
                <w:sz w:val="18"/>
                <w:szCs w:val="18"/>
                <w:color w:val="auto"/>
              </w:rPr>
            </w:pPr>
          </w:p>
        </w:tc>
        <w:tc>
          <w:tcPr>
            <w:tcW w:w="16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1,390,633</w:t>
            </w:r>
          </w:p>
        </w:tc>
        <w:tc>
          <w:tcPr>
            <w:tcW w:w="100" w:type="dxa"/>
            <w:vAlign w:val="bottom"/>
            <w:tcBorders>
              <w:top w:val="single" w:sz="8" w:color="CCEECC"/>
            </w:tcBorders>
            <w:shd w:val="clear" w:color="auto" w:fill="CCEECC"/>
          </w:tcPr>
          <w:p>
            <w:pPr>
              <w:spacing w:after="0"/>
              <w:rPr>
                <w:sz w:val="18"/>
                <w:szCs w:val="18"/>
                <w:color w:val="auto"/>
              </w:rPr>
            </w:pPr>
          </w:p>
        </w:tc>
        <w:tc>
          <w:tcPr>
            <w:tcW w:w="40" w:type="dxa"/>
            <w:vAlign w:val="bottom"/>
            <w:tcBorders>
              <w:top w:val="single" w:sz="8" w:color="CCEECC"/>
            </w:tcBorders>
            <w:shd w:val="clear" w:color="auto" w:fill="CCEECC"/>
          </w:tcPr>
          <w:p>
            <w:pPr>
              <w:spacing w:after="0"/>
              <w:rPr>
                <w:sz w:val="18"/>
                <w:szCs w:val="18"/>
                <w:color w:val="auto"/>
              </w:rPr>
            </w:pPr>
          </w:p>
        </w:tc>
        <w:tc>
          <w:tcPr>
            <w:tcW w:w="40" w:type="dxa"/>
            <w:vAlign w:val="bottom"/>
            <w:tcBorders>
              <w:top w:val="single" w:sz="8" w:color="CCEECC"/>
            </w:tcBorders>
            <w:shd w:val="clear" w:color="auto" w:fill="CCEECC"/>
          </w:tcPr>
          <w:p>
            <w:pPr>
              <w:spacing w:after="0"/>
              <w:rPr>
                <w:sz w:val="18"/>
                <w:szCs w:val="18"/>
                <w:color w:val="auto"/>
              </w:rPr>
            </w:pPr>
          </w:p>
        </w:tc>
        <w:tc>
          <w:tcPr>
            <w:tcW w:w="320" w:type="dxa"/>
            <w:vAlign w:val="bottom"/>
            <w:tcBorders>
              <w:top w:val="single" w:sz="8" w:color="auto"/>
              <w:bottom w:val="single" w:sz="8" w:color="auto"/>
            </w:tcBorders>
            <w:shd w:val="clear" w:color="auto" w:fill="CCEECC"/>
          </w:tcPr>
          <w:p>
            <w:pPr>
              <w:spacing w:after="0"/>
              <w:rPr>
                <w:sz w:val="18"/>
                <w:szCs w:val="18"/>
                <w:color w:val="auto"/>
              </w:rPr>
            </w:pPr>
          </w:p>
        </w:tc>
        <w:tc>
          <w:tcPr>
            <w:tcW w:w="1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1,495,459</w:t>
            </w:r>
          </w:p>
        </w:tc>
        <w:tc>
          <w:tcPr>
            <w:tcW w:w="80" w:type="dxa"/>
            <w:vAlign w:val="bottom"/>
            <w:tcBorders>
              <w:top w:val="single" w:sz="8" w:color="CCEECC"/>
            </w:tcBorders>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80" w:type="dxa"/>
            <w:vAlign w:val="bottom"/>
            <w:vMerge w:val="continue"/>
          </w:tcPr>
          <w:p>
            <w:pPr>
              <w:spacing w:after="0"/>
              <w:rPr>
                <w:sz w:val="21"/>
                <w:szCs w:val="21"/>
                <w:color w:val="auto"/>
              </w:rPr>
            </w:pPr>
          </w:p>
        </w:tc>
        <w:tc>
          <w:tcPr>
            <w:tcW w:w="5200" w:type="dxa"/>
            <w:vAlign w:val="bottom"/>
            <w:shd w:val="clear" w:color="auto" w:fill="CCEECC"/>
          </w:tcPr>
          <w:p>
            <w:pPr>
              <w:spacing w:after="0"/>
              <w:rPr>
                <w:sz w:val="20"/>
                <w:szCs w:val="20"/>
                <w:color w:val="auto"/>
              </w:rPr>
            </w:pPr>
            <w:r>
              <w:rPr>
                <w:rFonts w:ascii="Arial" w:cs="Arial" w:eastAsia="Arial" w:hAnsi="Arial"/>
                <w:sz w:val="18"/>
                <w:szCs w:val="18"/>
                <w:color w:val="auto"/>
              </w:rPr>
              <w:t>TOTAL LIABILITIES AND STOCKHOLDERS' EQUITY</w:t>
            </w:r>
          </w:p>
        </w:tc>
        <w:tc>
          <w:tcPr>
            <w:tcW w:w="520" w:type="dxa"/>
            <w:vAlign w:val="bottom"/>
            <w:gridSpan w:val="2"/>
            <w:shd w:val="clear" w:color="auto" w:fill="CCEECC"/>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2,141,841</w:t>
            </w:r>
          </w:p>
        </w:tc>
        <w:tc>
          <w:tcPr>
            <w:tcW w:w="100" w:type="dxa"/>
            <w:vAlign w:val="bottom"/>
            <w:shd w:val="clear" w:color="auto" w:fill="CCEECC"/>
          </w:tcPr>
          <w:p>
            <w:pPr>
              <w:spacing w:after="0"/>
              <w:rPr>
                <w:sz w:val="21"/>
                <w:szCs w:val="21"/>
                <w:color w:val="auto"/>
              </w:rPr>
            </w:pPr>
          </w:p>
        </w:tc>
        <w:tc>
          <w:tcPr>
            <w:tcW w:w="40" w:type="dxa"/>
            <w:vAlign w:val="bottom"/>
            <w:shd w:val="clear" w:color="auto" w:fill="CCEECC"/>
          </w:tcPr>
          <w:p>
            <w:pPr>
              <w:spacing w:after="0"/>
              <w:rPr>
                <w:sz w:val="21"/>
                <w:szCs w:val="21"/>
                <w:color w:val="auto"/>
              </w:rPr>
            </w:pPr>
          </w:p>
        </w:tc>
        <w:tc>
          <w:tcPr>
            <w:tcW w:w="3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2,175,404</w:t>
            </w:r>
          </w:p>
        </w:tc>
        <w:tc>
          <w:tcPr>
            <w:tcW w:w="80" w:type="dxa"/>
            <w:vAlign w:val="bottom"/>
            <w:shd w:val="clear" w:color="auto" w:fill="CCEECC"/>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340" w:type="dxa"/>
            <w:vAlign w:val="bottom"/>
            <w:tcBorders>
              <w:top w:val="single" w:sz="8" w:color="CCEECC"/>
            </w:tcBorders>
            <w:gridSpan w:val="2"/>
          </w:tcPr>
          <w:p>
            <w:pPr>
              <w:spacing w:after="0" w:line="20" w:lineRule="exact"/>
              <w:rPr>
                <w:sz w:val="1"/>
                <w:szCs w:val="1"/>
                <w:color w:val="auto"/>
              </w:rPr>
            </w:pPr>
          </w:p>
        </w:tc>
        <w:tc>
          <w:tcPr>
            <w:tcW w:w="2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80" w:type="dxa"/>
            <w:vAlign w:val="bottom"/>
          </w:tcPr>
          <w:p>
            <w:pPr>
              <w:spacing w:after="0"/>
              <w:rPr>
                <w:sz w:val="24"/>
                <w:szCs w:val="24"/>
                <w:color w:val="auto"/>
              </w:rPr>
            </w:pPr>
          </w:p>
        </w:tc>
        <w:tc>
          <w:tcPr>
            <w:tcW w:w="7520" w:type="dxa"/>
            <w:vAlign w:val="bottom"/>
            <w:gridSpan w:val="6"/>
          </w:tcPr>
          <w:p>
            <w:pPr>
              <w:ind w:left="2140"/>
              <w:spacing w:after="0"/>
              <w:rPr>
                <w:sz w:val="20"/>
                <w:szCs w:val="20"/>
                <w:color w:val="auto"/>
              </w:rPr>
            </w:pPr>
            <w:r>
              <w:rPr>
                <w:rFonts w:ascii="Arial" w:cs="Arial" w:eastAsia="Arial" w:hAnsi="Arial"/>
                <w:sz w:val="18"/>
                <w:szCs w:val="18"/>
                <w:color w:val="auto"/>
                <w:w w:val="90"/>
              </w:rPr>
              <w:t>The accompanying notes are an integral part of these financial statements.</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80" w:type="dxa"/>
            <w:vAlign w:val="bottom"/>
            <w:tcBorders>
              <w:bottom w:val="single" w:sz="8" w:color="auto"/>
            </w:tcBorders>
          </w:tcPr>
          <w:p>
            <w:pPr>
              <w:spacing w:after="0"/>
              <w:rPr>
                <w:sz w:val="16"/>
                <w:szCs w:val="16"/>
                <w:color w:val="auto"/>
              </w:rPr>
            </w:pPr>
          </w:p>
        </w:tc>
        <w:tc>
          <w:tcPr>
            <w:tcW w:w="5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80" w:type="dxa"/>
            <w:vAlign w:val="bottom"/>
          </w:tcPr>
          <w:p>
            <w:pPr>
              <w:spacing w:after="0"/>
              <w:rPr>
                <w:sz w:val="19"/>
                <w:szCs w:val="19"/>
                <w:color w:val="auto"/>
              </w:rPr>
            </w:pPr>
          </w:p>
        </w:tc>
        <w:tc>
          <w:tcPr>
            <w:tcW w:w="5200" w:type="dxa"/>
            <w:vAlign w:val="bottom"/>
          </w:tcPr>
          <w:p>
            <w:pPr>
              <w:ind w:left="4700"/>
              <w:spacing w:after="0"/>
              <w:rPr>
                <w:sz w:val="20"/>
                <w:szCs w:val="20"/>
                <w:color w:val="auto"/>
              </w:rPr>
            </w:pPr>
            <w:r>
              <w:rPr>
                <w:rFonts w:ascii="Arial" w:cs="Arial" w:eastAsia="Arial" w:hAnsi="Arial"/>
                <w:sz w:val="18"/>
                <w:szCs w:val="18"/>
                <w:color w:val="auto"/>
              </w:rPr>
              <w:t>F-1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MARCH 31, 2013 AND 2012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For the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For the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three months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three months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ended</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ended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3"/>
          </w:tcPr>
          <w:p>
            <w:pPr>
              <w:jc w:val="center"/>
              <w:ind w:right="400"/>
              <w:spacing w:after="0"/>
              <w:rPr>
                <w:sz w:val="20"/>
                <w:szCs w:val="20"/>
                <w:color w:val="auto"/>
              </w:rPr>
            </w:pPr>
            <w:r>
              <w:rPr>
                <w:rFonts w:ascii="Arial" w:cs="Arial" w:eastAsia="Arial" w:hAnsi="Arial"/>
                <w:sz w:val="18"/>
                <w:szCs w:val="18"/>
                <w:color w:val="auto"/>
                <w:w w:val="92"/>
              </w:rPr>
              <w:t>March 31,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March 31,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gridSpan w:val="2"/>
            <w:vMerge w:val="restart"/>
          </w:tcPr>
          <w:p>
            <w:pPr>
              <w:ind w:left="860"/>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2013</w:t>
            </w:r>
          </w:p>
        </w:tc>
        <w:tc>
          <w:tcPr>
            <w:tcW w:w="1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2012</w:t>
            </w:r>
          </w:p>
        </w:tc>
        <w:tc>
          <w:tcPr>
            <w:tcW w:w="80" w:type="dxa"/>
            <w:vAlign w:val="bottom"/>
            <w:tcBorders>
              <w:bottom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1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Sales</w:t>
            </w:r>
          </w:p>
        </w:tc>
        <w:tc>
          <w:tcPr>
            <w:tcW w:w="50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669,290</w:t>
            </w:r>
          </w:p>
        </w:tc>
        <w:tc>
          <w:tcPr>
            <w:tcW w:w="10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3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329,403</w:t>
            </w:r>
          </w:p>
        </w:tc>
        <w:tc>
          <w:tcPr>
            <w:tcW w:w="80" w:type="dxa"/>
            <w:vAlign w:val="bottom"/>
            <w:shd w:val="clear" w:color="auto" w:fill="CCEECC"/>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180" w:type="dxa"/>
            <w:vAlign w:val="bottom"/>
            <w:shd w:val="clear" w:color="auto" w:fill="CCEECC"/>
          </w:tcPr>
          <w:p>
            <w:pPr>
              <w:ind w:left="380"/>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CC"/>
          </w:tcPr>
          <w:p>
            <w:pPr>
              <w:spacing w:after="0"/>
              <w:rPr>
                <w:sz w:val="19"/>
                <w:szCs w:val="19"/>
                <w:color w:val="auto"/>
              </w:rPr>
            </w:pPr>
          </w:p>
        </w:tc>
        <w:tc>
          <w:tcPr>
            <w:tcW w:w="340" w:type="dxa"/>
            <w:vAlign w:val="bottom"/>
            <w:tcBorders>
              <w:bottom w:val="single" w:sz="8" w:color="auto"/>
            </w:tcBorders>
            <w:shd w:val="clear" w:color="auto" w:fill="CCEECC"/>
          </w:tcPr>
          <w:p>
            <w:pPr>
              <w:spacing w:after="0"/>
              <w:rPr>
                <w:sz w:val="19"/>
                <w:szCs w:val="19"/>
                <w:color w:val="auto"/>
              </w:rPr>
            </w:pPr>
          </w:p>
        </w:tc>
        <w:tc>
          <w:tcPr>
            <w:tcW w:w="17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669,290</w:t>
            </w:r>
          </w:p>
        </w:tc>
        <w:tc>
          <w:tcPr>
            <w:tcW w:w="10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340" w:type="dxa"/>
            <w:vAlign w:val="bottom"/>
            <w:tcBorders>
              <w:bottom w:val="single" w:sz="8" w:color="auto"/>
            </w:tcBorders>
            <w:shd w:val="clear" w:color="auto" w:fill="CCEECC"/>
          </w:tcPr>
          <w:p>
            <w:pPr>
              <w:spacing w:after="0"/>
              <w:rPr>
                <w:sz w:val="19"/>
                <w:szCs w:val="19"/>
                <w:color w:val="auto"/>
              </w:rPr>
            </w:pPr>
          </w:p>
        </w:tc>
        <w:tc>
          <w:tcPr>
            <w:tcW w:w="17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329,403</w:t>
            </w:r>
          </w:p>
        </w:tc>
        <w:tc>
          <w:tcPr>
            <w:tcW w:w="80" w:type="dxa"/>
            <w:vAlign w:val="bottom"/>
            <w:shd w:val="clear" w:color="auto" w:fill="CCEECC"/>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180" w:type="dxa"/>
            <w:vAlign w:val="bottom"/>
            <w:shd w:val="clear" w:color="auto" w:fill="CCEECC"/>
          </w:tcPr>
          <w:p>
            <w:pPr>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180" w:type="dxa"/>
            <w:vAlign w:val="bottom"/>
            <w:tcBorders>
              <w:bottom w:val="single" w:sz="8" w:color="CCEECC"/>
            </w:tcBorders>
          </w:tcPr>
          <w:p>
            <w:pPr>
              <w:ind w:left="14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774,172</w:t>
            </w:r>
          </w:p>
        </w:tc>
        <w:tc>
          <w:tcPr>
            <w:tcW w:w="100" w:type="dxa"/>
            <w:vAlign w:val="bottom"/>
            <w:tcBorders>
              <w:bottom w:val="single" w:sz="8" w:color="CCEECC"/>
            </w:tcBorders>
          </w:tcPr>
          <w:p>
            <w:pPr>
              <w:spacing w:after="0"/>
              <w:rPr>
                <w:sz w:val="19"/>
                <w:szCs w:val="19"/>
                <w:color w:val="auto"/>
              </w:rPr>
            </w:pPr>
          </w:p>
        </w:tc>
        <w:tc>
          <w:tcPr>
            <w:tcW w:w="60" w:type="dxa"/>
            <w:vAlign w:val="bottom"/>
            <w:tcBorders>
              <w:bottom w:val="single" w:sz="8" w:color="CCEECC"/>
            </w:tcBorders>
          </w:tcPr>
          <w:p>
            <w:pPr>
              <w:spacing w:after="0"/>
              <w:rPr>
                <w:sz w:val="19"/>
                <w:szCs w:val="19"/>
                <w:color w:val="auto"/>
              </w:rPr>
            </w:pPr>
          </w:p>
        </w:tc>
        <w:tc>
          <w:tcPr>
            <w:tcW w:w="20" w:type="dxa"/>
            <w:vAlign w:val="bottom"/>
            <w:tcBorders>
              <w:bottom w:val="single" w:sz="8" w:color="CCEE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630,322</w:t>
            </w:r>
          </w:p>
        </w:tc>
        <w:tc>
          <w:tcPr>
            <w:tcW w:w="80" w:type="dxa"/>
            <w:vAlign w:val="bottom"/>
            <w:tcBorders>
              <w:bottom w:val="single" w:sz="8" w:color="CCEECC"/>
            </w:tcBorders>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1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180" w:type="dxa"/>
            <w:vAlign w:val="bottom"/>
            <w:tcBorders>
              <w:bottom w:val="single" w:sz="8" w:color="CCEECC"/>
            </w:tcBorders>
          </w:tcPr>
          <w:p>
            <w:pPr>
              <w:ind w:left="380"/>
              <w:spacing w:after="0"/>
              <w:rPr>
                <w:sz w:val="20"/>
                <w:szCs w:val="20"/>
                <w:color w:val="auto"/>
              </w:rPr>
            </w:pPr>
            <w:r>
              <w:rPr>
                <w:rFonts w:ascii="Arial" w:cs="Arial" w:eastAsia="Arial" w:hAnsi="Arial"/>
                <w:sz w:val="18"/>
                <w:szCs w:val="18"/>
                <w:color w:val="auto"/>
              </w:rPr>
              <w:t>TOTAL EXPENSES</w:t>
            </w:r>
          </w:p>
        </w:tc>
        <w:tc>
          <w:tcPr>
            <w:tcW w:w="160" w:type="dxa"/>
            <w:vAlign w:val="bottom"/>
            <w:tcBorders>
              <w:bottom w:val="single" w:sz="8" w:color="CCEE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774,172</w:t>
            </w:r>
          </w:p>
        </w:tc>
        <w:tc>
          <w:tcPr>
            <w:tcW w:w="100" w:type="dxa"/>
            <w:vAlign w:val="bottom"/>
            <w:tcBorders>
              <w:bottom w:val="single" w:sz="8" w:color="CCEECC"/>
            </w:tcBorders>
          </w:tcPr>
          <w:p>
            <w:pPr>
              <w:spacing w:after="0"/>
              <w:rPr>
                <w:sz w:val="19"/>
                <w:szCs w:val="19"/>
                <w:color w:val="auto"/>
              </w:rPr>
            </w:pPr>
          </w:p>
        </w:tc>
        <w:tc>
          <w:tcPr>
            <w:tcW w:w="60" w:type="dxa"/>
            <w:vAlign w:val="bottom"/>
            <w:tcBorders>
              <w:bottom w:val="single" w:sz="8" w:color="CCEECC"/>
            </w:tcBorders>
          </w:tcPr>
          <w:p>
            <w:pPr>
              <w:spacing w:after="0"/>
              <w:rPr>
                <w:sz w:val="19"/>
                <w:szCs w:val="19"/>
                <w:color w:val="auto"/>
              </w:rPr>
            </w:pPr>
          </w:p>
        </w:tc>
        <w:tc>
          <w:tcPr>
            <w:tcW w:w="20" w:type="dxa"/>
            <w:vAlign w:val="bottom"/>
            <w:tcBorders>
              <w:bottom w:val="single" w:sz="8" w:color="CCEE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630,322</w:t>
            </w:r>
          </w:p>
        </w:tc>
        <w:tc>
          <w:tcPr>
            <w:tcW w:w="80" w:type="dxa"/>
            <w:vAlign w:val="bottom"/>
            <w:tcBorders>
              <w:bottom w:val="single" w:sz="8" w:color="CCEECC"/>
            </w:tcBorders>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51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vMerge w:val="continue"/>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(104,882)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(300,919)</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518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340" w:type="dxa"/>
            <w:vAlign w:val="bottom"/>
            <w:tcBorders>
              <w:top w:val="single" w:sz="8" w:color="auto"/>
            </w:tcBorders>
            <w:shd w:val="clear" w:color="auto" w:fill="CCEECC"/>
          </w:tcPr>
          <w:p>
            <w:pPr>
              <w:spacing w:after="0"/>
              <w:rPr>
                <w:sz w:val="18"/>
                <w:szCs w:val="18"/>
                <w:color w:val="auto"/>
              </w:rPr>
            </w:pPr>
          </w:p>
        </w:tc>
        <w:tc>
          <w:tcPr>
            <w:tcW w:w="1700" w:type="dxa"/>
            <w:vAlign w:val="bottom"/>
            <w:tcBorders>
              <w:top w:val="single" w:sz="8" w:color="auto"/>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340" w:type="dxa"/>
            <w:vAlign w:val="bottom"/>
            <w:tcBorders>
              <w:top w:val="single" w:sz="8" w:color="auto"/>
            </w:tcBorders>
            <w:shd w:val="clear" w:color="auto" w:fill="CCEECC"/>
          </w:tcPr>
          <w:p>
            <w:pPr>
              <w:spacing w:after="0"/>
              <w:rPr>
                <w:sz w:val="18"/>
                <w:szCs w:val="18"/>
                <w:color w:val="auto"/>
              </w:rPr>
            </w:pPr>
          </w:p>
        </w:tc>
        <w:tc>
          <w:tcPr>
            <w:tcW w:w="1700" w:type="dxa"/>
            <w:vAlign w:val="bottom"/>
            <w:tcBorders>
              <w:top w:val="single" w:sz="8" w:color="auto"/>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180" w:type="dxa"/>
            <w:vAlign w:val="bottom"/>
            <w:shd w:val="clear" w:color="auto" w:fill="CCEECC"/>
          </w:tcPr>
          <w:p>
            <w:pPr>
              <w:ind w:left="380"/>
              <w:spacing w:after="0"/>
              <w:rPr>
                <w:sz w:val="20"/>
                <w:szCs w:val="20"/>
                <w:color w:val="auto"/>
              </w:rPr>
            </w:pPr>
            <w:r>
              <w:rPr>
                <w:rFonts w:ascii="Arial" w:cs="Arial" w:eastAsia="Arial" w:hAnsi="Arial"/>
                <w:sz w:val="18"/>
                <w:szCs w:val="18"/>
                <w:color w:val="auto"/>
              </w:rPr>
              <w:t>TOTAL OTHER INCOME (EXPENSE)</w:t>
            </w:r>
          </w:p>
        </w:tc>
        <w:tc>
          <w:tcPr>
            <w:tcW w:w="160" w:type="dxa"/>
            <w:vAlign w:val="bottom"/>
            <w:shd w:val="clear" w:color="auto" w:fill="CCEECC"/>
          </w:tcPr>
          <w:p>
            <w:pPr>
              <w:spacing w:after="0"/>
              <w:rPr>
                <w:sz w:val="19"/>
                <w:szCs w:val="19"/>
                <w:color w:val="auto"/>
              </w:rPr>
            </w:pPr>
          </w:p>
        </w:tc>
        <w:tc>
          <w:tcPr>
            <w:tcW w:w="340" w:type="dxa"/>
            <w:vAlign w:val="bottom"/>
            <w:tcBorders>
              <w:bottom w:val="single" w:sz="8" w:color="auto"/>
            </w:tcBorders>
            <w:shd w:val="clear" w:color="auto" w:fill="CCEECC"/>
          </w:tcPr>
          <w:p>
            <w:pPr>
              <w:spacing w:after="0"/>
              <w:rPr>
                <w:sz w:val="19"/>
                <w:szCs w:val="19"/>
                <w:color w:val="auto"/>
              </w:rPr>
            </w:pPr>
          </w:p>
        </w:tc>
        <w:tc>
          <w:tcPr>
            <w:tcW w:w="17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340" w:type="dxa"/>
            <w:vAlign w:val="bottom"/>
            <w:tcBorders>
              <w:bottom w:val="single" w:sz="8" w:color="auto"/>
            </w:tcBorders>
            <w:shd w:val="clear" w:color="auto" w:fill="CCEECC"/>
          </w:tcPr>
          <w:p>
            <w:pPr>
              <w:spacing w:after="0"/>
              <w:rPr>
                <w:sz w:val="19"/>
                <w:szCs w:val="19"/>
                <w:color w:val="auto"/>
              </w:rPr>
            </w:pPr>
          </w:p>
        </w:tc>
        <w:tc>
          <w:tcPr>
            <w:tcW w:w="17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CC"/>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180" w:type="dxa"/>
            <w:vAlign w:val="bottom"/>
            <w:shd w:val="clear" w:color="auto" w:fill="CCEECC"/>
          </w:tcPr>
          <w:p>
            <w:pPr>
              <w:spacing w:after="0"/>
              <w:rPr>
                <w:sz w:val="20"/>
                <w:szCs w:val="20"/>
                <w:color w:val="auto"/>
              </w:rPr>
            </w:pPr>
            <w:r>
              <w:rPr>
                <w:rFonts w:ascii="Arial" w:cs="Arial" w:eastAsia="Arial" w:hAnsi="Arial"/>
                <w:sz w:val="18"/>
                <w:szCs w:val="18"/>
                <w:color w:val="auto"/>
              </w:rPr>
              <w:t>INCOME BEFORE PROVISION FOR INCOME TAXES</w:t>
            </w:r>
          </w:p>
        </w:tc>
        <w:tc>
          <w:tcPr>
            <w:tcW w:w="16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(104,826)</w:t>
            </w: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(300,734)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vMerge w:val="continue"/>
          </w:tcPr>
          <w:p>
            <w:pPr>
              <w:spacing w:after="0"/>
              <w:rPr>
                <w:sz w:val="19"/>
                <w:szCs w:val="19"/>
                <w:color w:val="auto"/>
              </w:rPr>
            </w:pPr>
          </w:p>
        </w:tc>
        <w:tc>
          <w:tcPr>
            <w:tcW w:w="5180" w:type="dxa"/>
            <w:vAlign w:val="bottom"/>
            <w:shd w:val="clear" w:color="auto" w:fill="CCEECC"/>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CC"/>
          </w:tcPr>
          <w:p>
            <w:pPr>
              <w:spacing w:after="0"/>
              <w:rPr>
                <w:sz w:val="19"/>
                <w:szCs w:val="19"/>
                <w:color w:val="auto"/>
              </w:rPr>
            </w:pPr>
          </w:p>
        </w:tc>
        <w:tc>
          <w:tcPr>
            <w:tcW w:w="340" w:type="dxa"/>
            <w:vAlign w:val="bottom"/>
            <w:tcBorders>
              <w:bottom w:val="single" w:sz="8" w:color="auto"/>
            </w:tcBorders>
            <w:shd w:val="clear" w:color="auto" w:fill="CCEECC"/>
          </w:tcPr>
          <w:p>
            <w:pPr>
              <w:spacing w:after="0"/>
              <w:rPr>
                <w:sz w:val="19"/>
                <w:szCs w:val="19"/>
                <w:color w:val="auto"/>
              </w:rPr>
            </w:pPr>
          </w:p>
        </w:tc>
        <w:tc>
          <w:tcPr>
            <w:tcW w:w="17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340" w:type="dxa"/>
            <w:vAlign w:val="bottom"/>
            <w:tcBorders>
              <w:bottom w:val="single" w:sz="8" w:color="auto"/>
            </w:tcBorders>
            <w:shd w:val="clear" w:color="auto" w:fill="CCEECC"/>
          </w:tcPr>
          <w:p>
            <w:pPr>
              <w:spacing w:after="0"/>
              <w:rPr>
                <w:sz w:val="19"/>
                <w:szCs w:val="19"/>
                <w:color w:val="auto"/>
              </w:rPr>
            </w:pPr>
          </w:p>
        </w:tc>
        <w:tc>
          <w:tcPr>
            <w:tcW w:w="17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5180" w:type="dxa"/>
            <w:vAlign w:val="bottom"/>
            <w:shd w:val="clear" w:color="auto" w:fill="CCEECC"/>
          </w:tcPr>
          <w:p>
            <w:pPr>
              <w:ind w:left="380"/>
              <w:spacing w:after="0"/>
              <w:rPr>
                <w:sz w:val="20"/>
                <w:szCs w:val="20"/>
                <w:color w:val="auto"/>
              </w:rPr>
            </w:pPr>
            <w:r>
              <w:rPr>
                <w:rFonts w:ascii="Arial" w:cs="Arial" w:eastAsia="Arial" w:hAnsi="Arial"/>
                <w:sz w:val="18"/>
                <w:szCs w:val="18"/>
                <w:color w:val="auto"/>
              </w:rPr>
              <w:t>NET (LOSS)</w:t>
            </w:r>
          </w:p>
        </w:tc>
        <w:tc>
          <w:tcPr>
            <w:tcW w:w="50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(104,826)</w:t>
            </w:r>
          </w:p>
        </w:tc>
        <w:tc>
          <w:tcPr>
            <w:tcW w:w="60" w:type="dxa"/>
            <w:vAlign w:val="bottom"/>
            <w:shd w:val="clear" w:color="auto" w:fill="CCEECC"/>
          </w:tcPr>
          <w:p>
            <w:pPr>
              <w:spacing w:after="0"/>
              <w:rPr>
                <w:sz w:val="21"/>
                <w:szCs w:val="21"/>
                <w:color w:val="auto"/>
              </w:rPr>
            </w:pPr>
          </w:p>
        </w:tc>
        <w:tc>
          <w:tcPr>
            <w:tcW w:w="3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(300,734)</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180" w:type="dxa"/>
            <w:vAlign w:val="bottom"/>
            <w:tcBorders>
              <w:top w:val="single" w:sz="8" w:color="CCEECC"/>
            </w:tcBorders>
          </w:tcPr>
          <w:p>
            <w:pPr>
              <w:spacing w:after="0" w:line="20" w:lineRule="exact"/>
              <w:rPr>
                <w:sz w:val="1"/>
                <w:szCs w:val="1"/>
                <w:color w:val="auto"/>
              </w:rPr>
            </w:pPr>
          </w:p>
        </w:tc>
        <w:tc>
          <w:tcPr>
            <w:tcW w:w="160" w:type="dxa"/>
            <w:vAlign w:val="bottom"/>
            <w:tcBorders>
              <w:top w:val="single" w:sz="8" w:color="CCEE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20" w:type="dxa"/>
            <w:vAlign w:val="bottom"/>
            <w:tcBorders>
              <w:top w:val="single" w:sz="8" w:color="CCEE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80" w:type="dxa"/>
            <w:vAlign w:val="bottom"/>
            <w:vMerge w:val="continue"/>
          </w:tcPr>
          <w:p>
            <w:pPr>
              <w:spacing w:after="0"/>
              <w:rPr>
                <w:sz w:val="17"/>
                <w:szCs w:val="17"/>
                <w:color w:val="auto"/>
              </w:rPr>
            </w:pPr>
          </w:p>
        </w:tc>
        <w:tc>
          <w:tcPr>
            <w:tcW w:w="518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8"/>
              </w:rPr>
              <w:t>WEIGHTED AVERAGE NUMBER OF SHARES OUTSTANDING:</w:t>
            </w:r>
          </w:p>
        </w:tc>
        <w:tc>
          <w:tcPr>
            <w:tcW w:w="16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7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70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180" w:type="dxa"/>
            <w:vAlign w:val="bottom"/>
            <w:tcBorders>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CCEECC"/>
            </w:tcBorders>
            <w:shd w:val="clear" w:color="auto" w:fill="CCEECC"/>
          </w:tcPr>
          <w:p>
            <w:pPr>
              <w:spacing w:after="0"/>
              <w:rPr>
                <w:sz w:val="22"/>
                <w:szCs w:val="22"/>
                <w:color w:val="auto"/>
              </w:rPr>
            </w:pPr>
          </w:p>
        </w:tc>
        <w:tc>
          <w:tcPr>
            <w:tcW w:w="340" w:type="dxa"/>
            <w:vAlign w:val="bottom"/>
            <w:tcBorders>
              <w:bottom w:val="single" w:sz="8" w:color="auto"/>
            </w:tcBorders>
            <w:shd w:val="clear" w:color="auto" w:fill="CCEECC"/>
          </w:tcPr>
          <w:p>
            <w:pPr>
              <w:spacing w:after="0"/>
              <w:rPr>
                <w:sz w:val="22"/>
                <w:szCs w:val="22"/>
                <w:color w:val="auto"/>
              </w:rPr>
            </w:pPr>
          </w:p>
        </w:tc>
        <w:tc>
          <w:tcPr>
            <w:tcW w:w="17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14,232,196</w:t>
            </w:r>
          </w:p>
        </w:tc>
        <w:tc>
          <w:tcPr>
            <w:tcW w:w="100" w:type="dxa"/>
            <w:vAlign w:val="bottom"/>
            <w:tcBorders>
              <w:bottom w:val="single" w:sz="8" w:color="CCEECC"/>
            </w:tcBorders>
            <w:shd w:val="clear" w:color="auto" w:fill="CCEECC"/>
          </w:tcPr>
          <w:p>
            <w:pPr>
              <w:spacing w:after="0"/>
              <w:rPr>
                <w:sz w:val="22"/>
                <w:szCs w:val="22"/>
                <w:color w:val="auto"/>
              </w:rPr>
            </w:pPr>
          </w:p>
        </w:tc>
        <w:tc>
          <w:tcPr>
            <w:tcW w:w="60" w:type="dxa"/>
            <w:vAlign w:val="bottom"/>
            <w:tcBorders>
              <w:bottom w:val="single" w:sz="8" w:color="CCEECC"/>
            </w:tcBorders>
            <w:shd w:val="clear" w:color="auto" w:fill="CCEECC"/>
          </w:tcPr>
          <w:p>
            <w:pPr>
              <w:spacing w:after="0"/>
              <w:rPr>
                <w:sz w:val="22"/>
                <w:szCs w:val="22"/>
                <w:color w:val="auto"/>
              </w:rPr>
            </w:pPr>
          </w:p>
        </w:tc>
        <w:tc>
          <w:tcPr>
            <w:tcW w:w="20" w:type="dxa"/>
            <w:vAlign w:val="bottom"/>
            <w:tcBorders>
              <w:bottom w:val="single" w:sz="8" w:color="CCEECC"/>
            </w:tcBorders>
            <w:shd w:val="clear" w:color="auto" w:fill="CCEECC"/>
          </w:tcPr>
          <w:p>
            <w:pPr>
              <w:spacing w:after="0"/>
              <w:rPr>
                <w:sz w:val="22"/>
                <w:szCs w:val="22"/>
                <w:color w:val="auto"/>
              </w:rPr>
            </w:pPr>
          </w:p>
        </w:tc>
        <w:tc>
          <w:tcPr>
            <w:tcW w:w="340" w:type="dxa"/>
            <w:vAlign w:val="bottom"/>
            <w:tcBorders>
              <w:bottom w:val="single" w:sz="8" w:color="auto"/>
            </w:tcBorders>
            <w:shd w:val="clear" w:color="auto" w:fill="CCEECC"/>
          </w:tcPr>
          <w:p>
            <w:pPr>
              <w:spacing w:after="0"/>
              <w:rPr>
                <w:sz w:val="22"/>
                <w:szCs w:val="22"/>
                <w:color w:val="auto"/>
              </w:rPr>
            </w:pPr>
          </w:p>
        </w:tc>
        <w:tc>
          <w:tcPr>
            <w:tcW w:w="17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14,192,496</w:t>
            </w:r>
          </w:p>
        </w:tc>
        <w:tc>
          <w:tcPr>
            <w:tcW w:w="80" w:type="dxa"/>
            <w:vAlign w:val="bottom"/>
            <w:tcBorders>
              <w:bottom w:val="single" w:sz="8" w:color="CCEECC"/>
            </w:tcBorders>
            <w:shd w:val="clear" w:color="auto" w:fill="CCEECC"/>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80" w:type="dxa"/>
            <w:vAlign w:val="bottom"/>
            <w:vMerge w:val="continue"/>
          </w:tcPr>
          <w:p>
            <w:pPr>
              <w:spacing w:after="0"/>
              <w:rPr>
                <w:sz w:val="21"/>
                <w:szCs w:val="21"/>
                <w:color w:val="auto"/>
              </w:rPr>
            </w:pPr>
          </w:p>
        </w:tc>
        <w:tc>
          <w:tcPr>
            <w:tcW w:w="5180" w:type="dxa"/>
            <w:vAlign w:val="bottom"/>
            <w:shd w:val="clear" w:color="auto" w:fill="CCEECC"/>
          </w:tcPr>
          <w:p>
            <w:pPr>
              <w:spacing w:after="0"/>
              <w:rPr>
                <w:sz w:val="20"/>
                <w:szCs w:val="20"/>
                <w:color w:val="auto"/>
              </w:rPr>
            </w:pPr>
            <w:r>
              <w:rPr>
                <w:rFonts w:ascii="Arial" w:cs="Arial" w:eastAsia="Arial" w:hAnsi="Arial"/>
                <w:sz w:val="18"/>
                <w:szCs w:val="18"/>
                <w:color w:val="auto"/>
              </w:rPr>
              <w:t>NET LOSS PER SHARE: BASIC AND DILUTED</w:t>
            </w:r>
          </w:p>
        </w:tc>
        <w:tc>
          <w:tcPr>
            <w:tcW w:w="50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CC"/>
          </w:tcPr>
          <w:p>
            <w:pPr>
              <w:spacing w:after="0"/>
              <w:rPr>
                <w:sz w:val="21"/>
                <w:szCs w:val="21"/>
                <w:color w:val="auto"/>
              </w:rPr>
            </w:pPr>
          </w:p>
        </w:tc>
        <w:tc>
          <w:tcPr>
            <w:tcW w:w="3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(0.02)</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340" w:type="dxa"/>
            <w:vAlign w:val="bottom"/>
            <w:tcBorders>
              <w:top w:val="single" w:sz="8" w:color="CCEECC"/>
            </w:tcBorders>
            <w:gridSpan w:val="2"/>
          </w:tcPr>
          <w:p>
            <w:pPr>
              <w:spacing w:after="0" w:line="20" w:lineRule="exact"/>
              <w:rPr>
                <w:sz w:val="1"/>
                <w:szCs w:val="1"/>
                <w:color w:val="auto"/>
              </w:rPr>
            </w:pPr>
          </w:p>
        </w:tc>
        <w:tc>
          <w:tcPr>
            <w:tcW w:w="2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20" w:type="dxa"/>
            <w:vAlign w:val="bottom"/>
            <w:tcBorders>
              <w:top w:val="single" w:sz="8" w:color="CCEE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80" w:type="dxa"/>
            <w:vAlign w:val="bottom"/>
          </w:tcPr>
          <w:p>
            <w:pPr>
              <w:spacing w:after="0"/>
              <w:rPr>
                <w:sz w:val="24"/>
                <w:szCs w:val="24"/>
                <w:color w:val="auto"/>
              </w:rPr>
            </w:pPr>
          </w:p>
        </w:tc>
        <w:tc>
          <w:tcPr>
            <w:tcW w:w="7540" w:type="dxa"/>
            <w:vAlign w:val="bottom"/>
            <w:gridSpan w:val="6"/>
          </w:tcPr>
          <w:p>
            <w:pPr>
              <w:ind w:left="2160"/>
              <w:spacing w:after="0"/>
              <w:rPr>
                <w:sz w:val="20"/>
                <w:szCs w:val="20"/>
                <w:color w:val="auto"/>
              </w:rPr>
            </w:pPr>
            <w:r>
              <w:rPr>
                <w:rFonts w:ascii="Arial" w:cs="Arial" w:eastAsia="Arial" w:hAnsi="Arial"/>
                <w:sz w:val="18"/>
                <w:szCs w:val="18"/>
                <w:color w:val="auto"/>
                <w:w w:val="90"/>
              </w:rPr>
              <w:t>The accompanying notes are an integral part of these financial statements.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80" w:type="dxa"/>
            <w:vAlign w:val="bottom"/>
            <w:tcBorders>
              <w:bottom w:val="single" w:sz="8" w:color="auto"/>
            </w:tcBorders>
          </w:tcPr>
          <w:p>
            <w:pPr>
              <w:spacing w:after="0"/>
              <w:rPr>
                <w:sz w:val="16"/>
                <w:szCs w:val="16"/>
                <w:color w:val="auto"/>
              </w:rPr>
            </w:pPr>
          </w:p>
        </w:tc>
        <w:tc>
          <w:tcPr>
            <w:tcW w:w="5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80" w:type="dxa"/>
            <w:vAlign w:val="bottom"/>
          </w:tcPr>
          <w:p>
            <w:pPr>
              <w:spacing w:after="0"/>
              <w:rPr>
                <w:sz w:val="19"/>
                <w:szCs w:val="19"/>
                <w:color w:val="auto"/>
              </w:rPr>
            </w:pPr>
          </w:p>
        </w:tc>
        <w:tc>
          <w:tcPr>
            <w:tcW w:w="5180" w:type="dxa"/>
            <w:vAlign w:val="bottom"/>
          </w:tcPr>
          <w:p>
            <w:pPr>
              <w:ind w:left="4700"/>
              <w:spacing w:after="0"/>
              <w:rPr>
                <w:sz w:val="20"/>
                <w:szCs w:val="20"/>
                <w:color w:val="auto"/>
              </w:rPr>
            </w:pPr>
            <w:r>
              <w:rPr>
                <w:rFonts w:ascii="Arial" w:cs="Arial" w:eastAsia="Arial" w:hAnsi="Arial"/>
                <w:sz w:val="18"/>
                <w:szCs w:val="18"/>
                <w:color w:val="auto"/>
              </w:rPr>
              <w:t>F-2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CONSOLIDATED STATEMENTS OF CASH FLOWS (UNAUDITED)</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FOR THE THREE MONTHS ENDED MARCH 31, 2013 AND 2012</w:t>
      </w:r>
    </w:p>
    <w:p>
      <w:pPr>
        <w:spacing w:after="0" w:line="21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For the three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For the three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months ended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March 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30"/>
        </w:trPr>
        <w:tc>
          <w:tcPr>
            <w:tcW w:w="5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2013</w:t>
            </w:r>
          </w:p>
        </w:tc>
        <w:tc>
          <w:tcPr>
            <w:tcW w:w="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2012</w:t>
            </w: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Net loss for the period</w:t>
            </w:r>
          </w:p>
        </w:tc>
        <w:tc>
          <w:tcPr>
            <w:tcW w:w="460" w:type="dxa"/>
            <w:vAlign w:val="bottom"/>
            <w:gridSpan w:val="2"/>
            <w:shd w:val="clear" w:color="auto" w:fill="CCEECC"/>
          </w:tcPr>
          <w:p>
            <w:pPr>
              <w:jc w:val="right"/>
              <w:ind w:right="165"/>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(104,826)</w:t>
            </w:r>
          </w:p>
        </w:tc>
        <w:tc>
          <w:tcPr>
            <w:tcW w:w="400" w:type="dxa"/>
            <w:vAlign w:val="bottom"/>
            <w:gridSpan w:val="2"/>
            <w:shd w:val="clear" w:color="auto" w:fill="CCEECC"/>
          </w:tcPr>
          <w:p>
            <w:pPr>
              <w:jc w:val="right"/>
              <w:ind w:right="13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(300,734)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tcPr>
          <w:p>
            <w:pPr>
              <w:spacing w:after="0" w:line="201" w:lineRule="exact"/>
              <w:rPr>
                <w:sz w:val="20"/>
                <w:szCs w:val="20"/>
                <w:color w:val="auto"/>
              </w:rPr>
            </w:pPr>
            <w:r>
              <w:rPr>
                <w:rFonts w:ascii="Arial" w:cs="Arial" w:eastAsia="Arial" w:hAnsi="Arial"/>
                <w:sz w:val="18"/>
                <w:szCs w:val="18"/>
                <w:color w:val="auto"/>
                <w:w w:val="97"/>
              </w:rPr>
              <w:t>Adjustments to reconcile net loss to net cash provided by (used in)</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48,111</w:t>
            </w: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46,023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120,054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CC"/>
          </w:tcPr>
          <w:p>
            <w:pPr>
              <w:spacing w:after="0"/>
              <w:rPr>
                <w:sz w:val="20"/>
                <w:szCs w:val="20"/>
                <w:color w:val="auto"/>
              </w:rPr>
            </w:pPr>
            <w:r>
              <w:rPr>
                <w:rFonts w:ascii="Arial" w:cs="Arial" w:eastAsia="Arial" w:hAnsi="Arial"/>
                <w:sz w:val="18"/>
                <w:szCs w:val="18"/>
                <w:color w:val="auto"/>
              </w:rPr>
              <w:t>Changes in:</w:t>
            </w:r>
          </w:p>
        </w:tc>
        <w:tc>
          <w:tcPr>
            <w:tcW w:w="1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(43,871)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355,412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35,822</w:t>
            </w: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5,033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(159,640)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37,750</w:t>
            </w: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(66,700)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31,520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(127,452)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w w:val="99"/>
              </w:rPr>
              <w:t>NET CASH PROVIDED BY (USED IN) OPERATING ACTIVITIES</w:t>
            </w:r>
          </w:p>
        </w:tc>
        <w:tc>
          <w:tcPr>
            <w:tcW w:w="140" w:type="dxa"/>
            <w:vAlign w:val="bottom"/>
            <w:tcBorders>
              <w:top w:val="single" w:sz="8" w:color="CCEECC"/>
            </w:tcBorders>
            <w:shd w:val="clear" w:color="auto" w:fill="CCEECC"/>
          </w:tcPr>
          <w:p>
            <w:pPr>
              <w:spacing w:after="0"/>
              <w:rPr>
                <w:sz w:val="18"/>
                <w:szCs w:val="18"/>
                <w:color w:val="auto"/>
              </w:rPr>
            </w:pPr>
          </w:p>
        </w:tc>
        <w:tc>
          <w:tcPr>
            <w:tcW w:w="320" w:type="dxa"/>
            <w:vAlign w:val="bottom"/>
            <w:tcBorders>
              <w:top w:val="single" w:sz="8" w:color="auto"/>
              <w:bottom w:val="single" w:sz="8" w:color="auto"/>
            </w:tcBorders>
            <w:shd w:val="clear" w:color="auto" w:fill="CCEECC"/>
          </w:tcPr>
          <w:p>
            <w:pPr>
              <w:spacing w:after="0"/>
              <w:rPr>
                <w:sz w:val="18"/>
                <w:szCs w:val="18"/>
                <w:color w:val="auto"/>
              </w:rPr>
            </w:pPr>
          </w:p>
        </w:tc>
        <w:tc>
          <w:tcPr>
            <w:tcW w:w="1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6,499</w:t>
            </w:r>
          </w:p>
        </w:tc>
        <w:tc>
          <w:tcPr>
            <w:tcW w:w="10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320" w:type="dxa"/>
            <w:vAlign w:val="bottom"/>
            <w:tcBorders>
              <w:top w:val="single" w:sz="8" w:color="auto"/>
              <w:bottom w:val="single" w:sz="8" w:color="auto"/>
            </w:tcBorders>
            <w:shd w:val="clear" w:color="auto" w:fill="CCEECC"/>
          </w:tcPr>
          <w:p>
            <w:pPr>
              <w:spacing w:after="0"/>
              <w:rPr>
                <w:sz w:val="18"/>
                <w:szCs w:val="18"/>
                <w:color w:val="auto"/>
              </w:rPr>
            </w:pPr>
          </w:p>
        </w:tc>
        <w:tc>
          <w:tcPr>
            <w:tcW w:w="1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(128,004</w:t>
            </w:r>
          </w:p>
        </w:tc>
        <w:tc>
          <w:tcPr>
            <w:tcW w:w="80" w:type="dxa"/>
            <w:vAlign w:val="bottom"/>
            <w:tcBorders>
              <w:top w:val="single" w:sz="8" w:color="CCEECC"/>
            </w:tcBorders>
            <w:shd w:val="clear" w:color="auto" w:fill="CCEECC"/>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Patent rights</w:t>
            </w:r>
          </w:p>
        </w:tc>
        <w:tc>
          <w:tcPr>
            <w:tcW w:w="1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8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(30,368)</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Website site development costs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(32,235)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CCEECC"/>
            </w:tcBorders>
            <w:shd w:val="clear" w:color="auto" w:fill="CCEECC"/>
          </w:tcPr>
          <w:p>
            <w:pPr>
              <w:spacing w:after="0"/>
              <w:rPr>
                <w:sz w:val="18"/>
                <w:szCs w:val="18"/>
                <w:color w:val="auto"/>
              </w:rPr>
            </w:pPr>
          </w:p>
        </w:tc>
        <w:tc>
          <w:tcPr>
            <w:tcW w:w="320" w:type="dxa"/>
            <w:vAlign w:val="bottom"/>
            <w:tcBorders>
              <w:top w:val="single" w:sz="8" w:color="auto"/>
            </w:tcBorders>
            <w:shd w:val="clear" w:color="auto" w:fill="CCEECC"/>
          </w:tcPr>
          <w:p>
            <w:pPr>
              <w:spacing w:after="0"/>
              <w:rPr>
                <w:sz w:val="18"/>
                <w:szCs w:val="18"/>
                <w:color w:val="auto"/>
              </w:rPr>
            </w:pPr>
          </w:p>
        </w:tc>
        <w:tc>
          <w:tcPr>
            <w:tcW w:w="17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(30,368)</w:t>
            </w:r>
          </w:p>
        </w:tc>
        <w:tc>
          <w:tcPr>
            <w:tcW w:w="10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320" w:type="dxa"/>
            <w:vAlign w:val="bottom"/>
            <w:tcBorders>
              <w:top w:val="single" w:sz="8" w:color="auto"/>
            </w:tcBorders>
            <w:shd w:val="clear" w:color="auto" w:fill="CCEECC"/>
          </w:tcPr>
          <w:p>
            <w:pPr>
              <w:spacing w:after="0"/>
              <w:rPr>
                <w:sz w:val="18"/>
                <w:szCs w:val="18"/>
                <w:color w:val="auto"/>
              </w:rPr>
            </w:pPr>
          </w:p>
        </w:tc>
        <w:tc>
          <w:tcPr>
            <w:tcW w:w="17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(33,659)</w:t>
            </w:r>
          </w:p>
        </w:tc>
        <w:tc>
          <w:tcPr>
            <w:tcW w:w="8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CC"/>
          </w:tcPr>
          <w:p>
            <w:pPr>
              <w:spacing w:after="0"/>
              <w:rPr>
                <w:sz w:val="20"/>
                <w:szCs w:val="20"/>
                <w:color w:val="auto"/>
              </w:rPr>
            </w:pPr>
            <w:r>
              <w:rPr>
                <w:rFonts w:ascii="Arial" w:cs="Arial" w:eastAsia="Arial" w:hAnsi="Arial"/>
                <w:sz w:val="18"/>
                <w:szCs w:val="18"/>
                <w:color w:val="auto"/>
              </w:rPr>
              <w:t>NET (DECREASE) IN CASH AND CASH EQUIVALENTS</w:t>
            </w:r>
          </w:p>
        </w:tc>
        <w:tc>
          <w:tcPr>
            <w:tcW w:w="1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8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(23,869)</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(161,663)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00" w:type="dxa"/>
            <w:vAlign w:val="bottom"/>
            <w:shd w:val="clear" w:color="auto" w:fill="CCEECC"/>
          </w:tcPr>
          <w:p>
            <w:pPr>
              <w:spacing w:after="0"/>
              <w:rPr>
                <w:sz w:val="20"/>
                <w:szCs w:val="20"/>
                <w:color w:val="auto"/>
              </w:rPr>
            </w:pPr>
            <w:r>
              <w:rPr>
                <w:rFonts w:ascii="Arial" w:cs="Arial" w:eastAsia="Arial" w:hAnsi="Arial"/>
                <w:sz w:val="18"/>
                <w:szCs w:val="18"/>
                <w:color w:val="auto"/>
              </w:rPr>
              <w:t>CASH AND CASH EQUIVALENTS - BEGINNING OF PERIOD</w:t>
            </w:r>
          </w:p>
        </w:tc>
        <w:tc>
          <w:tcPr>
            <w:tcW w:w="140" w:type="dxa"/>
            <w:vAlign w:val="bottom"/>
            <w:shd w:val="clear" w:color="auto" w:fill="CCEECC"/>
          </w:tcPr>
          <w:p>
            <w:pPr>
              <w:spacing w:after="0"/>
              <w:rPr>
                <w:sz w:val="19"/>
                <w:szCs w:val="19"/>
                <w:color w:val="auto"/>
              </w:rPr>
            </w:pPr>
          </w:p>
        </w:tc>
        <w:tc>
          <w:tcPr>
            <w:tcW w:w="320" w:type="dxa"/>
            <w:vAlign w:val="bottom"/>
            <w:tcBorders>
              <w:bottom w:val="single" w:sz="8" w:color="auto"/>
            </w:tcBorders>
            <w:shd w:val="clear" w:color="auto" w:fill="CCEECC"/>
          </w:tcPr>
          <w:p>
            <w:pPr>
              <w:spacing w:after="0"/>
              <w:rPr>
                <w:sz w:val="19"/>
                <w:szCs w:val="19"/>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284,263</w:t>
            </w:r>
          </w:p>
        </w:tc>
        <w:tc>
          <w:tcPr>
            <w:tcW w:w="10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320" w:type="dxa"/>
            <w:vAlign w:val="bottom"/>
            <w:tcBorders>
              <w:bottom w:val="single" w:sz="8" w:color="auto"/>
            </w:tcBorders>
            <w:shd w:val="clear" w:color="auto" w:fill="CCEECC"/>
          </w:tcPr>
          <w:p>
            <w:pPr>
              <w:spacing w:after="0"/>
              <w:rPr>
                <w:sz w:val="19"/>
                <w:szCs w:val="19"/>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959,166</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0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460" w:type="dxa"/>
            <w:vAlign w:val="bottom"/>
            <w:gridSpan w:val="2"/>
            <w:shd w:val="clear" w:color="auto" w:fill="CCEECC"/>
          </w:tcPr>
          <w:p>
            <w:pPr>
              <w:jc w:val="right"/>
              <w:ind w:right="165"/>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260,394</w:t>
            </w:r>
          </w:p>
        </w:tc>
        <w:tc>
          <w:tcPr>
            <w:tcW w:w="100" w:type="dxa"/>
            <w:vAlign w:val="bottom"/>
            <w:shd w:val="clear" w:color="auto" w:fill="CCEECC"/>
          </w:tcPr>
          <w:p>
            <w:pPr>
              <w:spacing w:after="0"/>
              <w:rPr>
                <w:sz w:val="21"/>
                <w:szCs w:val="21"/>
                <w:color w:val="auto"/>
              </w:rPr>
            </w:pPr>
          </w:p>
        </w:tc>
        <w:tc>
          <w:tcPr>
            <w:tcW w:w="400" w:type="dxa"/>
            <w:vAlign w:val="bottom"/>
            <w:gridSpan w:val="2"/>
            <w:shd w:val="clear" w:color="auto" w:fill="CCEECC"/>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797,503</w:t>
            </w:r>
          </w:p>
        </w:tc>
        <w:tc>
          <w:tcPr>
            <w:tcW w:w="8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CEECC"/>
            </w:tcBorders>
          </w:tcPr>
          <w:p>
            <w:pPr>
              <w:spacing w:after="0" w:line="20" w:lineRule="exact"/>
              <w:rPr>
                <w:sz w:val="1"/>
                <w:szCs w:val="1"/>
                <w:color w:val="auto"/>
              </w:rPr>
            </w:pPr>
          </w:p>
        </w:tc>
        <w:tc>
          <w:tcPr>
            <w:tcW w:w="140" w:type="dxa"/>
            <w:vAlign w:val="bottom"/>
            <w:tcBorders>
              <w:top w:val="single" w:sz="8" w:color="CCEE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Cash paid for interest</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00" w:type="dxa"/>
            <w:vAlign w:val="bottom"/>
            <w:tcBorders>
              <w:top w:val="single" w:sz="8" w:color="CCEECC"/>
              <w:bottom w:val="single" w:sz="8" w:color="CCEECC"/>
            </w:tcBorders>
            <w:shd w:val="clear" w:color="auto" w:fill="CCEECC"/>
          </w:tcPr>
          <w:p>
            <w:pPr>
              <w:ind w:left="300"/>
              <w:spacing w:after="0" w:line="190" w:lineRule="exact"/>
              <w:rPr>
                <w:sz w:val="20"/>
                <w:szCs w:val="20"/>
                <w:color w:val="auto"/>
              </w:rPr>
            </w:pPr>
            <w:r>
              <w:rPr>
                <w:rFonts w:ascii="Arial" w:cs="Arial" w:eastAsia="Arial" w:hAnsi="Arial"/>
                <w:sz w:val="18"/>
                <w:szCs w:val="18"/>
                <w:color w:val="auto"/>
              </w:rPr>
              <w:t>Cash paid for income taxes</w:t>
            </w:r>
          </w:p>
        </w:tc>
        <w:tc>
          <w:tcPr>
            <w:tcW w:w="140" w:type="dxa"/>
            <w:vAlign w:val="bottom"/>
            <w:tcBorders>
              <w:top w:val="single" w:sz="8" w:color="CCEECC"/>
              <w:bottom w:val="single" w:sz="8" w:color="CCEECC"/>
            </w:tcBorders>
            <w:shd w:val="clear" w:color="auto" w:fill="CCEECC"/>
          </w:tcPr>
          <w:p>
            <w:pPr>
              <w:spacing w:after="0"/>
              <w:rPr>
                <w:sz w:val="17"/>
                <w:szCs w:val="17"/>
                <w:color w:val="auto"/>
              </w:rPr>
            </w:pPr>
          </w:p>
        </w:tc>
        <w:tc>
          <w:tcPr>
            <w:tcW w:w="320" w:type="dxa"/>
            <w:vAlign w:val="bottom"/>
            <w:tcBorders>
              <w:top w:val="single" w:sz="8" w:color="auto"/>
              <w:bottom w:val="single" w:sz="8" w:color="auto"/>
            </w:tcBorders>
            <w:shd w:val="clear" w:color="auto" w:fill="CCEECC"/>
          </w:tcPr>
          <w:p>
            <w:pPr>
              <w:jc w:val="right"/>
              <w:ind w:right="16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w:t>
            </w:r>
          </w:p>
        </w:tc>
        <w:tc>
          <w:tcPr>
            <w:tcW w:w="100" w:type="dxa"/>
            <w:vAlign w:val="bottom"/>
            <w:tcBorders>
              <w:top w:val="single" w:sz="8" w:color="CCEECC"/>
              <w:bottom w:val="single" w:sz="8" w:color="CCEECC"/>
            </w:tcBorders>
            <w:shd w:val="clear" w:color="auto" w:fill="CCEECC"/>
          </w:tcPr>
          <w:p>
            <w:pPr>
              <w:spacing w:after="0"/>
              <w:rPr>
                <w:sz w:val="17"/>
                <w:szCs w:val="17"/>
                <w:color w:val="auto"/>
              </w:rPr>
            </w:pP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320" w:type="dxa"/>
            <w:vAlign w:val="bottom"/>
            <w:tcBorders>
              <w:top w:val="single" w:sz="8" w:color="auto"/>
              <w:bottom w:val="single" w:sz="8" w:color="auto"/>
            </w:tcBorders>
            <w:shd w:val="clear" w:color="auto" w:fill="CCEEC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w:t>
            </w: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60"/>
          </w:cols>
          <w:pgMar w:left="240" w:top="233" w:right="10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wholly-owned subsidiary, OptimizeRx Corporation, is a technology solutions company targeting the health care industry. Their objective is to bring better access to better care through connecting patients, physicians and pharmaceutical manufacturers through technology. Once defined as a marketing and advertising company through its consumer website, OptimizeRx is maturing as a technology solutions provider as it launched its direct to physician solution, SampleMD. SampleMD allows physicians to search, print and send available sample trial vouchers and/or co-pay coupons on behalf of their patients. The SampleMD solution can either sit on the doctor’s desktop or can be integrated into the ePrescribing or Electronic Medical Records applications. OptimizeRx solutions provide pharmaceutical manufacturers either a direct to consumer and/or direct to physician channels for communicating and promoting their products. It provides health care providers a means to provide sampling and coupons without having to physically store samples on site, and it provides better access and affordability to the patients.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interim consolidated financial statements have been prepared in accordance with accounting principles generally accepted in the United States of America and the rules of the Securities and Exchange Commission (“SEC”), and should be read in conjunction with the audited financial statements and notes thereto contained in the Company’s Form 10-K filed with the SEC as of and for the year ended December 31, 2012. In the opinion of management, all adjustments necessary for the financial statements to be not misleading for the interim periods presented have been reflected herein. The results of operations for interim periods are not necessarily indicative of the results to be expected for the full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Basis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uses the accrual basis of accounting and accounting principles generally accepted in the United States of America (“GAAP” accounting). The Company has adopted a December 31 fiscal year 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 of cash, accounts receivable, prepaid expenses, patent rights, web development costs, accounts payable, accounts payable – related party, accrued expenses and deferred revenue approximates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Bad debt expense was $0 for the three months ended March 31, 2013 and 2012, respectively. The allowance for doubtful accounts was $0 as of March 31, 2013 and December 31, 2012,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capital assets are being depreciated over their estimated useful lives, three to seven years using the straight-line method of depreciation for book purposes.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revenue is recognized when it is earned. Revenues are generated either through the Company’s website activities, in which we earn revenue from advertising and lead generation activities, or from our SampleMD activities, which include offering setup within the systems and our offers, coupons, and vouchers that enable our customers to save money on medical products and services. The Company’s processes are monitored by third parties who collect revenues from clients on a per activity basis and report and forward the revenue to the Company’s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Company’s key members are part of a continual research development team and monitor new technologies, trends, services and partnerships that can provide the Company with additional services, value to healthcare and pharmaceutical industries and to the patients it serves.</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seeks to educate team members through understanding of all market dynamics that have the potential to affect the business both short term and longer term. The primary goal is to help patients better afford and access the medicines their doctor prescribes, as well as other healthcare products and services they need. Based on this, the Company continually seeks better ways to meet this mission through technology, better user experiences and new ways to engage industries to provide new support for patients needing their products. The Company is always seeking new services and solutions to offer. At this time, the three current platforms provide robust opportunities and growth during the next five years.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Common and Common Equivalent Share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not included in the diluted earnings per share calculation for March 31, 2013 and 2012, respectively, since their effect is anti-dilutive.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PREPAID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consisted of the following as of March 31, 2013 and December 31, 2012:</w:t>
      </w:r>
    </w:p>
    <w:p>
      <w:pPr>
        <w:spacing w:after="0" w:line="239"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4080" w:type="dxa"/>
            <w:vAlign w:val="bottom"/>
            <w:tcBorders>
              <w:bottom w:val="single" w:sz="8" w:color="CCEECC"/>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5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r>
      <w:tr>
        <w:trPr>
          <w:trHeight w:val="210"/>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Insurance</w:t>
            </w:r>
          </w:p>
        </w:tc>
        <w:tc>
          <w:tcPr>
            <w:tcW w:w="1040" w:type="dxa"/>
            <w:vAlign w:val="bottom"/>
            <w:shd w:val="clear" w:color="auto" w:fill="CCEECC"/>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5,617</w:t>
            </w:r>
          </w:p>
        </w:tc>
        <w:tc>
          <w:tcPr>
            <w:tcW w:w="60" w:type="dxa"/>
            <w:vAlign w:val="bottom"/>
            <w:shd w:val="clear" w:color="auto" w:fill="CCEECC"/>
          </w:tcPr>
          <w:p>
            <w:pPr>
              <w:spacing w:after="0"/>
              <w:rPr>
                <w:sz w:val="18"/>
                <w:szCs w:val="18"/>
                <w:color w:val="auto"/>
              </w:rPr>
            </w:pPr>
          </w:p>
        </w:tc>
        <w:tc>
          <w:tcPr>
            <w:tcW w:w="380" w:type="dxa"/>
            <w:vAlign w:val="bottom"/>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6,437</w:t>
            </w:r>
          </w:p>
        </w:tc>
      </w:tr>
      <w:tr>
        <w:trPr>
          <w:trHeight w:val="216"/>
        </w:trPr>
        <w:tc>
          <w:tcPr>
            <w:tcW w:w="4080" w:type="dxa"/>
            <w:vAlign w:val="bottom"/>
          </w:tcPr>
          <w:p>
            <w:pPr>
              <w:ind w:left="100"/>
              <w:spacing w:after="0"/>
              <w:rPr>
                <w:sz w:val="20"/>
                <w:szCs w:val="20"/>
                <w:color w:val="auto"/>
              </w:rPr>
            </w:pPr>
            <w:r>
              <w:rPr>
                <w:rFonts w:ascii="Arial" w:cs="Arial" w:eastAsia="Arial" w:hAnsi="Arial"/>
                <w:sz w:val="18"/>
                <w:szCs w:val="18"/>
                <w:color w:val="auto"/>
              </w:rPr>
              <w:t>Rent</w:t>
            </w:r>
          </w:p>
        </w:tc>
        <w:tc>
          <w:tcPr>
            <w:tcW w:w="10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5,049</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5,049</w:t>
            </w:r>
          </w:p>
        </w:tc>
      </w:tr>
      <w:tr>
        <w:trPr>
          <w:trHeight w:val="216"/>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Consulting</w:t>
            </w:r>
          </w:p>
        </w:tc>
        <w:tc>
          <w:tcPr>
            <w:tcW w:w="1040" w:type="dxa"/>
            <w:vAlign w:val="bottom"/>
            <w:shd w:val="clear" w:color="auto" w:fill="CCEECC"/>
          </w:tcPr>
          <w:p>
            <w:pPr>
              <w:spacing w:after="0"/>
              <w:rPr>
                <w:sz w:val="18"/>
                <w:szCs w:val="18"/>
                <w:color w:val="auto"/>
              </w:rPr>
            </w:pPr>
          </w:p>
        </w:tc>
        <w:tc>
          <w:tcPr>
            <w:tcW w:w="6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w w:val="94"/>
              </w:rPr>
              <w:t>21,670</w:t>
            </w:r>
          </w:p>
        </w:tc>
        <w:tc>
          <w:tcPr>
            <w:tcW w:w="60" w:type="dxa"/>
            <w:vAlign w:val="bottom"/>
            <w:shd w:val="clear" w:color="auto" w:fill="CCEECC"/>
          </w:tcPr>
          <w:p>
            <w:pPr>
              <w:spacing w:after="0"/>
              <w:rPr>
                <w:sz w:val="18"/>
                <w:szCs w:val="18"/>
                <w:color w:val="auto"/>
              </w:rPr>
            </w:pPr>
          </w:p>
        </w:tc>
        <w:tc>
          <w:tcPr>
            <w:tcW w:w="38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31,672</w:t>
            </w:r>
          </w:p>
        </w:tc>
      </w:tr>
      <w:tr>
        <w:trPr>
          <w:trHeight w:val="230"/>
        </w:trPr>
        <w:tc>
          <w:tcPr>
            <w:tcW w:w="4080" w:type="dxa"/>
            <w:vAlign w:val="bottom"/>
          </w:tcPr>
          <w:p>
            <w:pPr>
              <w:ind w:left="100"/>
              <w:spacing w:after="0"/>
              <w:rPr>
                <w:sz w:val="20"/>
                <w:szCs w:val="20"/>
                <w:color w:val="auto"/>
              </w:rPr>
            </w:pPr>
            <w:r>
              <w:rPr>
                <w:rFonts w:ascii="Arial" w:cs="Arial" w:eastAsia="Arial" w:hAnsi="Arial"/>
                <w:sz w:val="18"/>
                <w:szCs w:val="18"/>
                <w:color w:val="auto"/>
              </w:rPr>
              <w:t>Legal</w:t>
            </w:r>
          </w:p>
        </w:tc>
        <w:tc>
          <w:tcPr>
            <w:tcW w:w="104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25,000</w:t>
            </w:r>
          </w:p>
        </w:tc>
      </w:tr>
      <w:tr>
        <w:trPr>
          <w:trHeight w:val="223"/>
        </w:trPr>
        <w:tc>
          <w:tcPr>
            <w:tcW w:w="4080" w:type="dxa"/>
            <w:vAlign w:val="bottom"/>
            <w:tcBorders>
              <w:top w:val="single" w:sz="8" w:color="CCEECC"/>
              <w:bottom w:val="single" w:sz="8" w:color="CCEECC"/>
            </w:tcBorders>
            <w:shd w:val="clear" w:color="auto" w:fill="CCEECC"/>
          </w:tcPr>
          <w:p>
            <w:pPr>
              <w:ind w:left="100"/>
              <w:spacing w:after="0"/>
              <w:rPr>
                <w:sz w:val="20"/>
                <w:szCs w:val="20"/>
                <w:color w:val="auto"/>
              </w:rPr>
            </w:pPr>
            <w:r>
              <w:rPr>
                <w:rFonts w:ascii="Arial" w:cs="Arial" w:eastAsia="Arial" w:hAnsi="Arial"/>
                <w:sz w:val="18"/>
                <w:szCs w:val="18"/>
                <w:color w:val="auto"/>
              </w:rPr>
              <w:t>Total prepaid expenses</w:t>
            </w:r>
          </w:p>
        </w:tc>
        <w:tc>
          <w:tcPr>
            <w:tcW w:w="1040" w:type="dxa"/>
            <w:vAlign w:val="bottom"/>
            <w:tcBorders>
              <w:top w:val="single" w:sz="8" w:color="auto"/>
              <w:bottom w:val="single" w:sz="8" w:color="auto"/>
            </w:tcBorders>
            <w:shd w:val="clear" w:color="auto" w:fill="CCEECC"/>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4"/>
              </w:rPr>
              <w:t>32,336</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380" w:type="dxa"/>
            <w:vAlign w:val="bottom"/>
            <w:tcBorders>
              <w:top w:val="single" w:sz="8" w:color="auto"/>
              <w:bottom w:val="single" w:sz="8" w:color="auto"/>
            </w:tcBorders>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68,158</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4 –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owned equipment recorded at cost which consisted of the following as of March 31, 2013 and December 31, 2012:</w:t>
      </w:r>
    </w:p>
    <w:p>
      <w:pPr>
        <w:spacing w:after="0" w:line="239"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4080" w:type="dxa"/>
            <w:vAlign w:val="bottom"/>
            <w:tcBorders>
              <w:bottom w:val="single" w:sz="8" w:color="CCEECC"/>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5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r>
      <w:tr>
        <w:trPr>
          <w:trHeight w:val="210"/>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Computer equipment</w:t>
            </w:r>
          </w:p>
        </w:tc>
        <w:tc>
          <w:tcPr>
            <w:tcW w:w="1000" w:type="dxa"/>
            <w:vAlign w:val="bottom"/>
            <w:shd w:val="clear" w:color="auto" w:fill="CCEECC"/>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22,360</w:t>
            </w:r>
          </w:p>
        </w:tc>
        <w:tc>
          <w:tcPr>
            <w:tcW w:w="60" w:type="dxa"/>
            <w:vAlign w:val="bottom"/>
            <w:shd w:val="clear" w:color="auto" w:fill="CCEECC"/>
          </w:tcPr>
          <w:p>
            <w:pPr>
              <w:spacing w:after="0"/>
              <w:rPr>
                <w:sz w:val="18"/>
                <w:szCs w:val="18"/>
                <w:color w:val="auto"/>
              </w:rPr>
            </w:pPr>
          </w:p>
        </w:tc>
        <w:tc>
          <w:tcPr>
            <w:tcW w:w="380" w:type="dxa"/>
            <w:vAlign w:val="bottom"/>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22,360</w:t>
            </w:r>
          </w:p>
        </w:tc>
      </w:tr>
      <w:tr>
        <w:trPr>
          <w:trHeight w:val="230"/>
        </w:trPr>
        <w:tc>
          <w:tcPr>
            <w:tcW w:w="4080" w:type="dxa"/>
            <w:vAlign w:val="bottom"/>
          </w:tcPr>
          <w:p>
            <w:pPr>
              <w:ind w:left="100"/>
              <w:spacing w:after="0"/>
              <w:rPr>
                <w:sz w:val="20"/>
                <w:szCs w:val="20"/>
                <w:color w:val="auto"/>
              </w:rPr>
            </w:pPr>
            <w:r>
              <w:rPr>
                <w:rFonts w:ascii="Arial" w:cs="Arial" w:eastAsia="Arial" w:hAnsi="Arial"/>
                <w:sz w:val="18"/>
                <w:szCs w:val="18"/>
                <w:color w:val="auto"/>
              </w:rPr>
              <w:t>Furniture and fixtures</w:t>
            </w:r>
          </w:p>
        </w:tc>
        <w:tc>
          <w:tcPr>
            <w:tcW w:w="10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11,088</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11,088</w:t>
            </w:r>
          </w:p>
        </w:tc>
        <w:tc>
          <w:tcPr>
            <w:tcW w:w="60" w:type="dxa"/>
            <w:vAlign w:val="bottom"/>
          </w:tcPr>
          <w:p>
            <w:pPr>
              <w:spacing w:after="0"/>
              <w:rPr>
                <w:sz w:val="19"/>
                <w:szCs w:val="19"/>
                <w:color w:val="auto"/>
              </w:rPr>
            </w:pPr>
          </w:p>
        </w:tc>
      </w:tr>
      <w:tr>
        <w:trPr>
          <w:trHeight w:val="210"/>
        </w:trPr>
        <w:tc>
          <w:tcPr>
            <w:tcW w:w="4080" w:type="dxa"/>
            <w:vAlign w:val="bottom"/>
            <w:tcBorders>
              <w:top w:val="single" w:sz="8" w:color="CCEECC"/>
            </w:tcBorders>
            <w:shd w:val="clear" w:color="auto" w:fill="CCEECC"/>
          </w:tcPr>
          <w:p>
            <w:pPr>
              <w:ind w:left="320"/>
              <w:spacing w:after="0"/>
              <w:rPr>
                <w:sz w:val="20"/>
                <w:szCs w:val="20"/>
                <w:color w:val="auto"/>
              </w:rPr>
            </w:pPr>
            <w:r>
              <w:rPr>
                <w:rFonts w:ascii="Arial" w:cs="Arial" w:eastAsia="Arial" w:hAnsi="Arial"/>
                <w:sz w:val="18"/>
                <w:szCs w:val="18"/>
                <w:color w:val="auto"/>
              </w:rPr>
              <w:t>Subtotal</w:t>
            </w:r>
          </w:p>
        </w:tc>
        <w:tc>
          <w:tcPr>
            <w:tcW w:w="1000" w:type="dxa"/>
            <w:vAlign w:val="bottom"/>
            <w:tcBorders>
              <w:top w:val="single" w:sz="8" w:color="auto"/>
            </w:tcBorders>
            <w:shd w:val="clear" w:color="auto" w:fill="CCEECC"/>
          </w:tcPr>
          <w:p>
            <w:pPr>
              <w:spacing w:after="0"/>
              <w:rPr>
                <w:sz w:val="18"/>
                <w:szCs w:val="18"/>
                <w:color w:val="auto"/>
              </w:rPr>
            </w:pPr>
          </w:p>
        </w:tc>
        <w:tc>
          <w:tcPr>
            <w:tcW w:w="58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33,448</w:t>
            </w:r>
          </w:p>
        </w:tc>
        <w:tc>
          <w:tcPr>
            <w:tcW w:w="60" w:type="dxa"/>
            <w:vAlign w:val="bottom"/>
            <w:tcBorders>
              <w:top w:val="single" w:sz="8" w:color="CCEECC"/>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380" w:type="dxa"/>
            <w:vAlign w:val="bottom"/>
            <w:tcBorders>
              <w:top w:val="single" w:sz="8" w:color="auto"/>
            </w:tcBorders>
            <w:shd w:val="clear" w:color="auto" w:fill="CCEECC"/>
          </w:tcPr>
          <w:p>
            <w:pPr>
              <w:spacing w:after="0"/>
              <w:rPr>
                <w:sz w:val="18"/>
                <w:szCs w:val="18"/>
                <w:color w:val="auto"/>
              </w:rPr>
            </w:pPr>
          </w:p>
        </w:tc>
        <w:tc>
          <w:tcPr>
            <w:tcW w:w="12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33,448</w:t>
            </w:r>
          </w:p>
        </w:tc>
        <w:tc>
          <w:tcPr>
            <w:tcW w:w="60" w:type="dxa"/>
            <w:vAlign w:val="bottom"/>
            <w:tcBorders>
              <w:top w:val="single" w:sz="8" w:color="CCEECC"/>
            </w:tcBorders>
            <w:shd w:val="clear" w:color="auto" w:fill="CCEECC"/>
          </w:tcPr>
          <w:p>
            <w:pPr>
              <w:spacing w:after="0"/>
              <w:rPr>
                <w:sz w:val="18"/>
                <w:szCs w:val="18"/>
                <w:color w:val="auto"/>
              </w:rPr>
            </w:pPr>
          </w:p>
        </w:tc>
      </w:tr>
      <w:tr>
        <w:trPr>
          <w:trHeight w:val="230"/>
        </w:trPr>
        <w:tc>
          <w:tcPr>
            <w:tcW w:w="4080" w:type="dxa"/>
            <w:vAlign w:val="bottom"/>
          </w:tcPr>
          <w:p>
            <w:pPr>
              <w:ind w:left="100"/>
              <w:spacing w:after="0"/>
              <w:rPr>
                <w:sz w:val="20"/>
                <w:szCs w:val="20"/>
                <w:color w:val="auto"/>
              </w:rPr>
            </w:pPr>
            <w:r>
              <w:rPr>
                <w:rFonts w:ascii="Arial" w:cs="Arial" w:eastAsia="Arial" w:hAnsi="Arial"/>
                <w:sz w:val="18"/>
                <w:szCs w:val="18"/>
                <w:color w:val="auto"/>
              </w:rPr>
              <w:t>Accumulated depreciation</w:t>
            </w:r>
          </w:p>
        </w:tc>
        <w:tc>
          <w:tcPr>
            <w:tcW w:w="10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(14,170)</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(12,763)</w:t>
            </w:r>
          </w:p>
        </w:tc>
      </w:tr>
      <w:tr>
        <w:trPr>
          <w:trHeight w:val="223"/>
        </w:trPr>
        <w:tc>
          <w:tcPr>
            <w:tcW w:w="4080" w:type="dxa"/>
            <w:vAlign w:val="bottom"/>
            <w:tcBorders>
              <w:top w:val="single" w:sz="8" w:color="CCEECC"/>
              <w:bottom w:val="single" w:sz="8" w:color="CCEECC"/>
            </w:tcBorders>
            <w:shd w:val="clear" w:color="auto" w:fill="CCEECC"/>
          </w:tcPr>
          <w:p>
            <w:pPr>
              <w:ind w:left="280"/>
              <w:spacing w:after="0"/>
              <w:rPr>
                <w:sz w:val="20"/>
                <w:szCs w:val="20"/>
                <w:color w:val="auto"/>
              </w:rPr>
            </w:pPr>
            <w:r>
              <w:rPr>
                <w:rFonts w:ascii="Arial" w:cs="Arial" w:eastAsia="Arial" w:hAnsi="Arial"/>
                <w:sz w:val="18"/>
                <w:szCs w:val="18"/>
                <w:color w:val="auto"/>
              </w:rPr>
              <w:t>Property and equipment, net</w:t>
            </w:r>
          </w:p>
        </w:tc>
        <w:tc>
          <w:tcPr>
            <w:tcW w:w="1000" w:type="dxa"/>
            <w:vAlign w:val="bottom"/>
            <w:tcBorders>
              <w:top w:val="single" w:sz="8" w:color="auto"/>
              <w:bottom w:val="single" w:sz="8" w:color="auto"/>
            </w:tcBorders>
            <w:shd w:val="clear" w:color="auto" w:fill="CCEECC"/>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19,278</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380" w:type="dxa"/>
            <w:vAlign w:val="bottom"/>
            <w:tcBorders>
              <w:top w:val="single" w:sz="8" w:color="auto"/>
              <w:bottom w:val="single" w:sz="8" w:color="auto"/>
            </w:tcBorders>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20,685</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$1,407 and $1,300 for the three months ended March 31, 2013 and 2012,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5 – WEB DEVELOPMENT COSTS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costs in developing their website and web-based products, which consisted of the following as of March 31, 2013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224"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4080" w:type="dxa"/>
            <w:vAlign w:val="bottom"/>
            <w:tcBorders>
              <w:bottom w:val="single" w:sz="8" w:color="CCEE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2012</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r>
      <w:tr>
        <w:trPr>
          <w:trHeight w:val="210"/>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OptimizeRx web development</w:t>
            </w:r>
          </w:p>
        </w:tc>
        <w:tc>
          <w:tcPr>
            <w:tcW w:w="360" w:type="dxa"/>
            <w:vAlign w:val="bottom"/>
            <w:shd w:val="clear" w:color="auto" w:fill="CCEEC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154,133</w:t>
            </w: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60" w:type="dxa"/>
            <w:vAlign w:val="bottom"/>
            <w:shd w:val="clear" w:color="auto" w:fill="CCEEC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154,133</w:t>
            </w:r>
          </w:p>
        </w:tc>
        <w:tc>
          <w:tcPr>
            <w:tcW w:w="40" w:type="dxa"/>
            <w:vAlign w:val="bottom"/>
            <w:shd w:val="clear" w:color="auto" w:fill="CCEECC"/>
          </w:tcPr>
          <w:p>
            <w:pPr>
              <w:spacing w:after="0"/>
              <w:rPr>
                <w:sz w:val="18"/>
                <w:szCs w:val="18"/>
                <w:color w:val="auto"/>
              </w:rPr>
            </w:pPr>
          </w:p>
        </w:tc>
      </w:tr>
      <w:tr>
        <w:trPr>
          <w:trHeight w:val="230"/>
        </w:trPr>
        <w:tc>
          <w:tcPr>
            <w:tcW w:w="4080" w:type="dxa"/>
            <w:vAlign w:val="bottom"/>
          </w:tcPr>
          <w:p>
            <w:pPr>
              <w:ind w:left="100"/>
              <w:spacing w:after="0"/>
              <w:rPr>
                <w:sz w:val="20"/>
                <w:szCs w:val="20"/>
                <w:color w:val="auto"/>
              </w:rPr>
            </w:pPr>
            <w:r>
              <w:rPr>
                <w:rFonts w:ascii="Arial" w:cs="Arial" w:eastAsia="Arial" w:hAnsi="Arial"/>
                <w:sz w:val="18"/>
                <w:szCs w:val="18"/>
                <w:color w:val="auto"/>
              </w:rPr>
              <w:t>SampleMD web development</w:t>
            </w:r>
          </w:p>
        </w:tc>
        <w:tc>
          <w:tcPr>
            <w:tcW w:w="3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602,517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602,517</w:t>
            </w:r>
          </w:p>
        </w:tc>
        <w:tc>
          <w:tcPr>
            <w:tcW w:w="40" w:type="dxa"/>
            <w:vAlign w:val="bottom"/>
          </w:tcPr>
          <w:p>
            <w:pPr>
              <w:spacing w:after="0"/>
              <w:rPr>
                <w:sz w:val="19"/>
                <w:szCs w:val="19"/>
                <w:color w:val="auto"/>
              </w:rPr>
            </w:pPr>
          </w:p>
        </w:tc>
      </w:tr>
      <w:tr>
        <w:trPr>
          <w:trHeight w:val="210"/>
        </w:trPr>
        <w:tc>
          <w:tcPr>
            <w:tcW w:w="4080" w:type="dxa"/>
            <w:vAlign w:val="bottom"/>
            <w:tcBorders>
              <w:top w:val="single" w:sz="8" w:color="CCEECC"/>
            </w:tcBorders>
            <w:shd w:val="clear" w:color="auto" w:fill="CCEECC"/>
          </w:tcPr>
          <w:p>
            <w:pPr>
              <w:ind w:left="280"/>
              <w:spacing w:after="0"/>
              <w:rPr>
                <w:sz w:val="20"/>
                <w:szCs w:val="20"/>
                <w:color w:val="auto"/>
              </w:rPr>
            </w:pPr>
            <w:r>
              <w:rPr>
                <w:rFonts w:ascii="Arial" w:cs="Arial" w:eastAsia="Arial" w:hAnsi="Arial"/>
                <w:sz w:val="18"/>
                <w:szCs w:val="18"/>
                <w:color w:val="auto"/>
              </w:rPr>
              <w:t>Subtotal, web development costs</w:t>
            </w:r>
          </w:p>
        </w:tc>
        <w:tc>
          <w:tcPr>
            <w:tcW w:w="360" w:type="dxa"/>
            <w:vAlign w:val="bottom"/>
            <w:tcBorders>
              <w:top w:val="single" w:sz="8" w:color="auto"/>
            </w:tcBorders>
            <w:shd w:val="clear" w:color="auto" w:fill="CCEECC"/>
          </w:tcPr>
          <w:p>
            <w:pPr>
              <w:spacing w:after="0"/>
              <w:rPr>
                <w:sz w:val="18"/>
                <w:szCs w:val="18"/>
                <w:color w:val="auto"/>
              </w:rPr>
            </w:pPr>
          </w:p>
        </w:tc>
        <w:tc>
          <w:tcPr>
            <w:tcW w:w="12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756,650</w:t>
            </w:r>
          </w:p>
        </w:tc>
        <w:tc>
          <w:tcPr>
            <w:tcW w:w="60" w:type="dxa"/>
            <w:vAlign w:val="bottom"/>
            <w:tcBorders>
              <w:top w:val="single" w:sz="8" w:color="CCEECC"/>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360" w:type="dxa"/>
            <w:vAlign w:val="bottom"/>
            <w:tcBorders>
              <w:top w:val="single" w:sz="8" w:color="auto"/>
            </w:tcBorders>
            <w:shd w:val="clear" w:color="auto" w:fill="CCEECC"/>
          </w:tcPr>
          <w:p>
            <w:pPr>
              <w:spacing w:after="0"/>
              <w:rPr>
                <w:sz w:val="18"/>
                <w:szCs w:val="18"/>
                <w:color w:val="auto"/>
              </w:rPr>
            </w:pPr>
          </w:p>
        </w:tc>
        <w:tc>
          <w:tcPr>
            <w:tcW w:w="12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756,650</w:t>
            </w:r>
          </w:p>
        </w:tc>
        <w:tc>
          <w:tcPr>
            <w:tcW w:w="20" w:type="dxa"/>
            <w:vAlign w:val="bottom"/>
            <w:tcBorders>
              <w:top w:val="single" w:sz="8" w:color="CCEECC"/>
            </w:tcBorders>
            <w:shd w:val="clear" w:color="auto" w:fill="CCEECC"/>
          </w:tcPr>
          <w:p>
            <w:pPr>
              <w:spacing w:after="0"/>
              <w:rPr>
                <w:sz w:val="18"/>
                <w:szCs w:val="18"/>
                <w:color w:val="auto"/>
              </w:rPr>
            </w:pPr>
          </w:p>
        </w:tc>
        <w:tc>
          <w:tcPr>
            <w:tcW w:w="40" w:type="dxa"/>
            <w:vAlign w:val="bottom"/>
            <w:tcBorders>
              <w:top w:val="single" w:sz="8" w:color="CCEECC"/>
            </w:tcBorders>
            <w:shd w:val="clear" w:color="auto" w:fill="CCEECC"/>
          </w:tcPr>
          <w:p>
            <w:pPr>
              <w:spacing w:after="0"/>
              <w:rPr>
                <w:sz w:val="18"/>
                <w:szCs w:val="18"/>
                <w:color w:val="auto"/>
              </w:rPr>
            </w:pPr>
          </w:p>
        </w:tc>
      </w:tr>
      <w:tr>
        <w:trPr>
          <w:trHeight w:val="216"/>
        </w:trPr>
        <w:tc>
          <w:tcPr>
            <w:tcW w:w="4080" w:type="dxa"/>
            <w:vAlign w:val="bottom"/>
          </w:tcPr>
          <w:p>
            <w:pPr>
              <w:ind w:left="100"/>
              <w:spacing w:after="0"/>
              <w:rPr>
                <w:sz w:val="20"/>
                <w:szCs w:val="20"/>
                <w:color w:val="auto"/>
              </w:rPr>
            </w:pPr>
            <w:r>
              <w:rPr>
                <w:rFonts w:ascii="Arial" w:cs="Arial" w:eastAsia="Arial" w:hAnsi="Arial"/>
                <w:sz w:val="18"/>
                <w:szCs w:val="18"/>
                <w:color w:val="auto"/>
              </w:rPr>
              <w:t>Accumulated amortization</w:t>
            </w:r>
          </w:p>
        </w:tc>
        <w:tc>
          <w:tcPr>
            <w:tcW w:w="3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(342,924)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(310,352)</w:t>
            </w:r>
          </w:p>
        </w:tc>
      </w:tr>
      <w:tr>
        <w:trPr>
          <w:trHeight w:val="230"/>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Impairment</w:t>
            </w:r>
          </w:p>
        </w:tc>
        <w:tc>
          <w:tcPr>
            <w:tcW w:w="360" w:type="dxa"/>
            <w:vAlign w:val="bottom"/>
            <w:shd w:val="clear" w:color="auto" w:fill="CCEECC"/>
          </w:tcPr>
          <w:p>
            <w:pPr>
              <w:spacing w:after="0"/>
              <w:rPr>
                <w:sz w:val="19"/>
                <w:szCs w:val="19"/>
                <w:color w:val="auto"/>
              </w:rPr>
            </w:pPr>
          </w:p>
        </w:tc>
        <w:tc>
          <w:tcPr>
            <w:tcW w:w="12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(59,083)</w:t>
            </w:r>
          </w:p>
        </w:tc>
        <w:tc>
          <w:tcPr>
            <w:tcW w:w="6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360" w:type="dxa"/>
            <w:vAlign w:val="bottom"/>
            <w:shd w:val="clear" w:color="auto" w:fill="CCEECC"/>
          </w:tcPr>
          <w:p>
            <w:pPr>
              <w:spacing w:after="0"/>
              <w:rPr>
                <w:sz w:val="19"/>
                <w:szCs w:val="19"/>
                <w:color w:val="auto"/>
              </w:rPr>
            </w:pPr>
          </w:p>
        </w:tc>
        <w:tc>
          <w:tcPr>
            <w:tcW w:w="126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(59,083)</w:t>
            </w:r>
          </w:p>
        </w:tc>
      </w:tr>
      <w:tr>
        <w:trPr>
          <w:trHeight w:val="223"/>
        </w:trPr>
        <w:tc>
          <w:tcPr>
            <w:tcW w:w="4080" w:type="dxa"/>
            <w:vAlign w:val="bottom"/>
          </w:tcPr>
          <w:p>
            <w:pPr>
              <w:ind w:left="280"/>
              <w:spacing w:after="0"/>
              <w:rPr>
                <w:sz w:val="20"/>
                <w:szCs w:val="20"/>
                <w:color w:val="auto"/>
              </w:rPr>
            </w:pPr>
            <w:r>
              <w:rPr>
                <w:rFonts w:ascii="Arial" w:cs="Arial" w:eastAsia="Arial" w:hAnsi="Arial"/>
                <w:sz w:val="18"/>
                <w:szCs w:val="18"/>
                <w:color w:val="auto"/>
              </w:rPr>
              <w:t>Web development costs, net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354,643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387,215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is recorded using the straight-line method over a period of five years. The Company determined that the original OptimizeRx website was no longer useful so the remaining unamortized balance of $59,083 was impaired as of December 31, 2010. Amortization expense for the web development costs was $32,572 and $31,047 for the three months ended March 31, 2013 and 2012, respectively.</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RIGHTS AND INTANGIBLE ASSETS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26,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capitalized costs in purchasing the SampleMD patent, which consisted of the following as of March 31, 2013 and December 31, 2012:</w:t>
      </w:r>
    </w:p>
    <w:p>
      <w:pPr>
        <w:spacing w:after="0" w:line="154"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4080" w:type="dxa"/>
            <w:vAlign w:val="bottom"/>
            <w:tcBorders>
              <w:bottom w:val="single" w:sz="8" w:color="CCEE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r>
      <w:tr>
        <w:trPr>
          <w:trHeight w:val="210"/>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Patent rights and intangible assets</w:t>
            </w:r>
          </w:p>
        </w:tc>
        <w:tc>
          <w:tcPr>
            <w:tcW w:w="360" w:type="dxa"/>
            <w:vAlign w:val="bottom"/>
            <w:shd w:val="clear" w:color="auto" w:fill="CCEEC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960,368</w:t>
            </w:r>
          </w:p>
        </w:tc>
        <w:tc>
          <w:tcPr>
            <w:tcW w:w="60" w:type="dxa"/>
            <w:vAlign w:val="bottom"/>
            <w:shd w:val="clear" w:color="auto" w:fill="CCEECC"/>
          </w:tcPr>
          <w:p>
            <w:pPr>
              <w:spacing w:after="0"/>
              <w:rPr>
                <w:sz w:val="18"/>
                <w:szCs w:val="18"/>
                <w:color w:val="auto"/>
              </w:rPr>
            </w:pPr>
          </w:p>
        </w:tc>
        <w:tc>
          <w:tcPr>
            <w:tcW w:w="380" w:type="dxa"/>
            <w:vAlign w:val="bottom"/>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930,000</w:t>
            </w:r>
          </w:p>
        </w:tc>
      </w:tr>
      <w:tr>
        <w:trPr>
          <w:trHeight w:val="230"/>
        </w:trPr>
        <w:tc>
          <w:tcPr>
            <w:tcW w:w="4080" w:type="dxa"/>
            <w:vAlign w:val="bottom"/>
          </w:tcPr>
          <w:p>
            <w:pPr>
              <w:ind w:left="100"/>
              <w:spacing w:after="0"/>
              <w:rPr>
                <w:sz w:val="20"/>
                <w:szCs w:val="20"/>
                <w:color w:val="auto"/>
              </w:rPr>
            </w:pPr>
            <w:r>
              <w:rPr>
                <w:rFonts w:ascii="Arial" w:cs="Arial" w:eastAsia="Arial" w:hAnsi="Arial"/>
                <w:sz w:val="18"/>
                <w:szCs w:val="18"/>
                <w:color w:val="auto"/>
              </w:rPr>
              <w:t>Accumulated amortization</w:t>
            </w:r>
          </w:p>
        </w:tc>
        <w:tc>
          <w:tcPr>
            <w:tcW w:w="3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(150,896)</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(136,764)</w:t>
            </w:r>
          </w:p>
        </w:tc>
      </w:tr>
      <w:tr>
        <w:trPr>
          <w:trHeight w:val="223"/>
        </w:trPr>
        <w:tc>
          <w:tcPr>
            <w:tcW w:w="4080" w:type="dxa"/>
            <w:vAlign w:val="bottom"/>
            <w:tcBorders>
              <w:top w:val="single" w:sz="8" w:color="CCEECC"/>
              <w:bottom w:val="single" w:sz="8" w:color="CCEECC"/>
            </w:tcBorders>
            <w:shd w:val="clear" w:color="auto" w:fill="CCEECC"/>
          </w:tcPr>
          <w:p>
            <w:pPr>
              <w:ind w:left="280"/>
              <w:spacing w:after="0"/>
              <w:rPr>
                <w:sz w:val="20"/>
                <w:szCs w:val="20"/>
                <w:color w:val="auto"/>
              </w:rPr>
            </w:pPr>
            <w:r>
              <w:rPr>
                <w:rFonts w:ascii="Arial" w:cs="Arial" w:eastAsia="Arial" w:hAnsi="Arial"/>
                <w:sz w:val="18"/>
                <w:szCs w:val="18"/>
                <w:color w:val="auto"/>
              </w:rPr>
              <w:t>Patent rights and intangible assets, net</w:t>
            </w:r>
          </w:p>
        </w:tc>
        <w:tc>
          <w:tcPr>
            <w:tcW w:w="360" w:type="dxa"/>
            <w:vAlign w:val="bottom"/>
            <w:tcBorders>
              <w:top w:val="single" w:sz="8" w:color="auto"/>
              <w:bottom w:val="single" w:sz="8" w:color="auto"/>
            </w:tcBorders>
            <w:shd w:val="clear" w:color="auto" w:fill="CCEEC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809,472</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380" w:type="dxa"/>
            <w:vAlign w:val="bottom"/>
            <w:tcBorders>
              <w:top w:val="single" w:sz="8" w:color="auto"/>
              <w:bottom w:val="single" w:sz="8" w:color="auto"/>
            </w:tcBorders>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793,236</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began amortizing the patent, using the straight-line method over the estimated useful life of 17 years, once it was put into service in July 2010. In 2013, the Company began incurring costs related to defense of the patent. These costs have been capitalized and will be amortized using the straight-line method over the remaining useful life of the original patent. Amortization expense was $14,132 and $13,676 for the three months ended March 31, 2013 and 2012,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7 – ACCRUED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14, 2013, the Company hired a new CEO. The employment agreement requires annual compensation of $175,000 that will be accrued and deferred until at least January 1, 2014. Additionally, the agreement requires the issuance of 2,000,000 options with an exercise price of $1.00 for a term of five years. The options are not exercisable until at least January 1, 2014. The Company has accrued $43,750, or three months compensation, at March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as of March 31, 2013 and December 31, 2012:</w:t>
      </w:r>
    </w:p>
    <w:p>
      <w:pPr>
        <w:spacing w:after="0" w:line="239"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4080" w:type="dxa"/>
            <w:vAlign w:val="bottom"/>
            <w:tcBorders>
              <w:bottom w:val="single" w:sz="8" w:color="CCEECC"/>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5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r>
      <w:tr>
        <w:trPr>
          <w:trHeight w:val="210"/>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Accrued compensation</w:t>
            </w:r>
          </w:p>
        </w:tc>
        <w:tc>
          <w:tcPr>
            <w:tcW w:w="1040" w:type="dxa"/>
            <w:vAlign w:val="bottom"/>
            <w:shd w:val="clear" w:color="auto" w:fill="CCEECC"/>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w w:val="94"/>
              </w:rPr>
              <w:t>43,750</w:t>
            </w:r>
          </w:p>
        </w:tc>
        <w:tc>
          <w:tcPr>
            <w:tcW w:w="60" w:type="dxa"/>
            <w:vAlign w:val="bottom"/>
            <w:shd w:val="clear" w:color="auto" w:fill="CCEECC"/>
          </w:tcPr>
          <w:p>
            <w:pPr>
              <w:spacing w:after="0"/>
              <w:rPr>
                <w:sz w:val="18"/>
                <w:szCs w:val="18"/>
                <w:color w:val="auto"/>
              </w:rPr>
            </w:pPr>
          </w:p>
        </w:tc>
        <w:tc>
          <w:tcPr>
            <w:tcW w:w="380" w:type="dxa"/>
            <w:vAlign w:val="bottom"/>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r>
      <w:tr>
        <w:trPr>
          <w:trHeight w:val="230"/>
        </w:trPr>
        <w:tc>
          <w:tcPr>
            <w:tcW w:w="4080" w:type="dxa"/>
            <w:vAlign w:val="bottom"/>
          </w:tcPr>
          <w:p>
            <w:pPr>
              <w:ind w:left="100"/>
              <w:spacing w:after="0"/>
              <w:rPr>
                <w:sz w:val="20"/>
                <w:szCs w:val="20"/>
                <w:color w:val="auto"/>
              </w:rPr>
            </w:pPr>
            <w:r>
              <w:rPr>
                <w:rFonts w:ascii="Arial" w:cs="Arial" w:eastAsia="Arial" w:hAnsi="Arial"/>
                <w:sz w:val="18"/>
                <w:szCs w:val="18"/>
                <w:color w:val="auto"/>
              </w:rPr>
              <w:t>Accrued audit fees</w:t>
            </w:r>
          </w:p>
        </w:tc>
        <w:tc>
          <w:tcPr>
            <w:tcW w:w="104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6,000</w:t>
            </w:r>
          </w:p>
        </w:tc>
      </w:tr>
      <w:tr>
        <w:trPr>
          <w:trHeight w:val="223"/>
        </w:trPr>
        <w:tc>
          <w:tcPr>
            <w:tcW w:w="4080" w:type="dxa"/>
            <w:vAlign w:val="bottom"/>
            <w:tcBorders>
              <w:top w:val="single" w:sz="8" w:color="CCEECC"/>
              <w:bottom w:val="single" w:sz="8" w:color="CCEECC"/>
            </w:tcBorders>
            <w:shd w:val="clear" w:color="auto" w:fill="CCEECC"/>
          </w:tcPr>
          <w:p>
            <w:pPr>
              <w:ind w:left="200"/>
              <w:spacing w:after="0"/>
              <w:rPr>
                <w:sz w:val="20"/>
                <w:szCs w:val="20"/>
                <w:color w:val="auto"/>
              </w:rPr>
            </w:pPr>
            <w:r>
              <w:rPr>
                <w:rFonts w:ascii="Arial" w:cs="Arial" w:eastAsia="Arial" w:hAnsi="Arial"/>
                <w:sz w:val="18"/>
                <w:szCs w:val="18"/>
                <w:color w:val="auto"/>
              </w:rPr>
              <w:t>Total accrued expenses</w:t>
            </w:r>
          </w:p>
        </w:tc>
        <w:tc>
          <w:tcPr>
            <w:tcW w:w="1040" w:type="dxa"/>
            <w:vAlign w:val="bottom"/>
            <w:tcBorders>
              <w:top w:val="single" w:sz="8" w:color="auto"/>
              <w:bottom w:val="single" w:sz="8" w:color="auto"/>
            </w:tcBorders>
            <w:shd w:val="clear" w:color="auto" w:fill="CCEECC"/>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4"/>
              </w:rPr>
              <w:t>43,750</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380" w:type="dxa"/>
            <w:vAlign w:val="bottom"/>
            <w:tcBorders>
              <w:top w:val="single" w:sz="8" w:color="auto"/>
              <w:bottom w:val="single" w:sz="8" w:color="auto"/>
            </w:tcBorders>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6,000</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8 – DEFERRED REVENUE</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signed several contracts with customers for either the distribution or redemption of coupons. The payments are not taken into revenue until either the coupon is distributed to a patient or the coupon has been redeemed depending on the specific contract. The distributions and redemptions are tracked by the company’s administrative tool. Additionally, customer setup contracts that have been paid in full are deferred until the Company has completed the obligations of the contacts. Deferred revenue was $80,772 and $49,252 as of March 31, 2013 and December 31, 2012, respectively.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9 – RELATED PARTY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 has 500,000,000 shares of $.001 par value common stock authorized as of December 31,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14,232,496 and 14,232,496 common shares issued and outstanding at March 31, 2013 and December 31, 2012, respectively.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 2012, the Company entered into a consulting agreement with North Coast Advisors, Inc. for various services. The Company agreed to issue 40,000 shares of common stock as of the date of the contract. However, these shares were not issued until July 12, 2012. The Company also agreed to issue an additional 40,000 shares every six months in alignment with the agreement renewal up to the two years of the agreement. The first 40,000 shares were valued at the Company’s common stock price as of the date of the contract, which was $1.12/share and has been expensed. No additional shares were issued as of March 31,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11 –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conversion price.</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There is no conversion expiration date, however, the holder must provide 30 days notice for the registration of the conversion.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11 – PREFERRED STOCK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 Continued</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12, 2010, the Company’s Board declared and issued 236,598 common shares as payment for all cumulative and current semi-annual dividends. On November 16, 2010, the Company’s Board declared and issued 173,922 common shares for its semi-annual dividend payment. On March 25, 2011, the Company’s Board declared and issued 176,768 common shares for its semi-annual dividend payment. On September 21, 2011, the Company's Board declared and issued 156,306 common shares for its semi-annual dividend payment. The Company has undeclared dividends that were due in February and September 2012 totaling $350,000 as of December 31, 2012 and undeclared dividends of $175,000 due in February 2013.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2010, 15 preferred shares were issued for $1,500,000. The 15 shares are convertible to 1,500,000 shares of common stock and bear a 10% cumulative dividend. In addition, there was a warrant issued to purchase 3,000,000 shares of common stock at an exercise price of $3 for a period of seven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September 30, 2011, 15 preferred shares were issued to an investor for $1,500,000. The 15 shares are convertible to 1,500,000 shares of common stock and bear a 10% cumulative dividend. In addition, there was a warrant issued to purchase 1,000,000 shares of common stock at an exercise price of $3 for a period of seven years. Based on the fair values of the preferred stock and common stock warrants on the issue date, $855,460 was allocated to preferred stock and $644,540 was allocated to the common stock warrants. See Note 12.</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B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shall also be convertible at the option of the holder into that number of shares of common stock of the Company at the stated value of such share at a $1.50 conversion price.</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On March 25, 2011, the Company’s Board declared and issued 75,758 common shares for its semi-annual dividend payment. On September 21, 2011, the Company's Board declared and issued 66,988 common shares for its semi-annual dividend payment. The Company has undeclared dividends that were due in February and September 2012 totaling $150,000 as of December 31, 2012 and undeclared dividends of $75,000 due in February 2013.</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accounts for employee stock-based compensation in accordance with the guidance of ASC Topic 718: Compensation - Stock Compensation, which requires all share-based payments to employees, including grants of employee stock options, to be recognized in the financial statements based on their fair values.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follows ASC Topic 505-50, formerly EITF 96-18, “Accounting for Equity Instruments that are Issued to Other than Employees for Acquiring, or in Conjunction with Selling Goods and Services,” for stock options and warrants issued to consultants and other non-employees. In accordance with ASC Topic 505-50, these stock options and warrants issued as compensation for services provided to the Company are accounted for based upon the fair value of the services provided or the estimated fair market value of the option or warrant, whichever can be more clearly determined. The fair value of the equity instrument is charged directly to compensation expense and additional paid-in capital over the period during which services are rendered.</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31, 2011, the Company issued 285,000 stock options to 3 employees at an exercise price of $1.00. The options were valued on the grant date using the Black-Scholes option-pricing model with the following assumptions: dividend yield of 0%, expected volatility of 218%, risk-free interest rate of 1.68% and expected life of 60 months. The total value of the options was $320,585. The options vest over one year. The Company recognized share-based compensation expense of $187,005 during the year ended December 31, 2011. The remaining balance of $133,580 was recognized over the first five months of 2012.</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quarter ended December 31, 2011, the Company issued 20,000 stock options to 2 employees at an exercise price of $1.00. The options were valued on the grant date using the Black-Scholes option-pricing model with the following assumptions: dividend yield of 0%, expected volatility of 204-205%, risk-free interest rate of 0.88-0.93% and expected life of 60 months. The total value of the options was $19,270. The options vest over one year. The Company recognized share-based compensation expense of $2,480 during the year ended December 31, 2011 and $4,818 during the quarter ended March 31, 2012. The remaining balance was recognized during the remainder of 2012.</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21, 2011, the Company issued 100,000 stock options to an individual at an exercise price of $0.73. The options were valued on the grant date using the Black-Scholes option-pricing model with the following assumptions: dividend yield of 0%, expected volatility of 205%, risk-free interest rate of 0.92% and expected life of 60 months. The Company recognized expenses of $8,346 during the year ended December 31, 2011 and $25,039 during the quarter ended March 31, 2012. The remaining balance was recognized during the remainder of 2012.</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quarter ended March 31, 2012, the Company issued 50,000 stock options to 4 non-employees at an exercise price of $0.89. The options were valued on the grant date using the Black-Scholes option-pricing model with the following assumptions: dividend yield of 0%, expected volatility of 198%, risk-free interest rate of 0.65% and expected life of 48 months. The total value of the options was $35,091. The options vest over 4 months. The Company recognized share-based compensation expense of $17,546 during the three months ended March 31, 2012. The balance was expensed during the three months ended June 30, 2012.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 (CONTINUED)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quarter ended December 31, 2012, the Company issued 25,000 stock options to a non-employee at an exercise price of $1.58. The options were valued on the grant date using the Black-Scholes option-pricing model with the following assumptions: dividend yield of 0%, expected volatility of 200%, risk-free interest rate of 0.67% and expected life of 60 months. The total value of the options was $40,007. The options vest over 1 year. The Company recognized share-based compensation expense of $8,335 during the three months ended December 31, 2012 and $10,002 during the three months ended March 31, 2013. The remaining balance will be recognized over the remainder of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options outstanding as of March 31, 2013: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p>
        </w:tc>
        <w:tc>
          <w:tcPr>
            <w:tcW w:w="2540" w:type="dxa"/>
            <w:vAlign w:val="bottom"/>
            <w:tcBorders>
              <w:bottom w:val="single" w:sz="8" w:color="CCEECC"/>
            </w:tcBorders>
          </w:tcPr>
          <w:p>
            <w:pPr>
              <w:spacing w:after="0"/>
              <w:rPr>
                <w:sz w:val="20"/>
                <w:szCs w:val="20"/>
                <w:color w:val="auto"/>
              </w:rPr>
            </w:pPr>
          </w:p>
        </w:tc>
        <w:tc>
          <w:tcPr>
            <w:tcW w:w="24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Number of Options</w:t>
            </w:r>
          </w:p>
        </w:tc>
        <w:tc>
          <w:tcPr>
            <w:tcW w:w="60" w:type="dxa"/>
            <w:vAlign w:val="bottom"/>
            <w:tcBorders>
              <w:bottom w:val="single" w:sz="8" w:color="CCEECC"/>
            </w:tcBorders>
          </w:tcPr>
          <w:p>
            <w:pPr>
              <w:spacing w:after="0"/>
              <w:rPr>
                <w:sz w:val="20"/>
                <w:szCs w:val="20"/>
                <w:color w:val="auto"/>
              </w:rPr>
            </w:pPr>
          </w:p>
        </w:tc>
        <w:tc>
          <w:tcPr>
            <w:tcW w:w="23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9"/>
              </w:rPr>
              <w:t>Weighted average exercise price</w:t>
            </w:r>
          </w:p>
        </w:tc>
      </w:tr>
      <w:tr>
        <w:trPr>
          <w:trHeight w:val="210"/>
        </w:trPr>
        <w:tc>
          <w:tcPr>
            <w:tcW w:w="2000" w:type="dxa"/>
            <w:vAlign w:val="bottom"/>
          </w:tcPr>
          <w:p>
            <w:pPr>
              <w:spacing w:after="0"/>
              <w:rPr>
                <w:sz w:val="18"/>
                <w:szCs w:val="18"/>
                <w:color w:val="auto"/>
              </w:rPr>
            </w:pPr>
          </w:p>
        </w:tc>
        <w:tc>
          <w:tcPr>
            <w:tcW w:w="2540" w:type="dxa"/>
            <w:vAlign w:val="bottom"/>
            <w:shd w:val="clear" w:color="auto" w:fill="CCEECC"/>
          </w:tcPr>
          <w:p>
            <w:pPr>
              <w:ind w:left="80"/>
              <w:spacing w:after="0"/>
              <w:rPr>
                <w:sz w:val="20"/>
                <w:szCs w:val="20"/>
                <w:color w:val="auto"/>
              </w:rPr>
            </w:pPr>
            <w:r>
              <w:rPr>
                <w:rFonts w:ascii="Arial" w:cs="Arial" w:eastAsia="Arial" w:hAnsi="Arial"/>
                <w:sz w:val="18"/>
                <w:szCs w:val="18"/>
                <w:color w:val="auto"/>
              </w:rPr>
              <w:t>Outstanding, January 1, 2012</w:t>
            </w:r>
          </w:p>
        </w:tc>
        <w:tc>
          <w:tcPr>
            <w:tcW w:w="23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405,000</w:t>
            </w:r>
          </w:p>
        </w:tc>
        <w:tc>
          <w:tcPr>
            <w:tcW w:w="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40" w:type="dxa"/>
            <w:vAlign w:val="bottom"/>
            <w:shd w:val="clear" w:color="auto" w:fill="CCEECC"/>
          </w:tcPr>
          <w:p>
            <w:pPr>
              <w:jc w:val="right"/>
              <w:ind w:right="8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1.01</w:t>
            </w:r>
          </w:p>
        </w:tc>
      </w:tr>
      <w:tr>
        <w:trPr>
          <w:trHeight w:val="216"/>
        </w:trPr>
        <w:tc>
          <w:tcPr>
            <w:tcW w:w="2000" w:type="dxa"/>
            <w:vAlign w:val="bottom"/>
          </w:tcPr>
          <w:p>
            <w:pPr>
              <w:spacing w:after="0"/>
              <w:rPr>
                <w:sz w:val="18"/>
                <w:szCs w:val="18"/>
                <w:color w:val="auto"/>
              </w:rPr>
            </w:pPr>
          </w:p>
        </w:tc>
        <w:tc>
          <w:tcPr>
            <w:tcW w:w="2540" w:type="dxa"/>
            <w:vAlign w:val="bottom"/>
          </w:tcPr>
          <w:p>
            <w:pPr>
              <w:ind w:left="80"/>
              <w:spacing w:after="0"/>
              <w:rPr>
                <w:sz w:val="20"/>
                <w:szCs w:val="20"/>
                <w:color w:val="auto"/>
              </w:rPr>
            </w:pPr>
            <w:r>
              <w:rPr>
                <w:rFonts w:ascii="Arial" w:cs="Arial" w:eastAsia="Arial" w:hAnsi="Arial"/>
                <w:sz w:val="18"/>
                <w:szCs w:val="18"/>
                <w:color w:val="auto"/>
              </w:rPr>
              <w:t>Granted - 2012</w:t>
            </w:r>
          </w:p>
        </w:tc>
        <w:tc>
          <w:tcPr>
            <w:tcW w:w="2440" w:type="dxa"/>
            <w:vAlign w:val="bottom"/>
            <w:gridSpan w:val="2"/>
          </w:tcPr>
          <w:p>
            <w:pPr>
              <w:jc w:val="right"/>
              <w:ind w:right="80"/>
              <w:spacing w:after="0"/>
              <w:rPr>
                <w:sz w:val="20"/>
                <w:szCs w:val="20"/>
                <w:color w:val="auto"/>
              </w:rPr>
            </w:pPr>
            <w:r>
              <w:rPr>
                <w:rFonts w:ascii="Arial" w:cs="Arial" w:eastAsia="Arial" w:hAnsi="Arial"/>
                <w:sz w:val="18"/>
                <w:szCs w:val="18"/>
                <w:color w:val="auto"/>
              </w:rPr>
              <w:t>75,000</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r>
      <w:tr>
        <w:trPr>
          <w:trHeight w:val="216"/>
        </w:trPr>
        <w:tc>
          <w:tcPr>
            <w:tcW w:w="2000" w:type="dxa"/>
            <w:vAlign w:val="bottom"/>
          </w:tcPr>
          <w:p>
            <w:pPr>
              <w:spacing w:after="0"/>
              <w:rPr>
                <w:sz w:val="18"/>
                <w:szCs w:val="18"/>
                <w:color w:val="auto"/>
              </w:rPr>
            </w:pPr>
          </w:p>
        </w:tc>
        <w:tc>
          <w:tcPr>
            <w:tcW w:w="2540" w:type="dxa"/>
            <w:vAlign w:val="bottom"/>
            <w:shd w:val="clear" w:color="auto" w:fill="CCEECC"/>
          </w:tcPr>
          <w:p>
            <w:pPr>
              <w:ind w:left="80"/>
              <w:spacing w:after="0"/>
              <w:rPr>
                <w:sz w:val="20"/>
                <w:szCs w:val="20"/>
                <w:color w:val="auto"/>
              </w:rPr>
            </w:pPr>
            <w:r>
              <w:rPr>
                <w:rFonts w:ascii="Arial" w:cs="Arial" w:eastAsia="Arial" w:hAnsi="Arial"/>
                <w:sz w:val="18"/>
                <w:szCs w:val="18"/>
                <w:color w:val="auto"/>
              </w:rPr>
              <w:t>Exercised - 2012</w:t>
            </w:r>
          </w:p>
        </w:tc>
        <w:tc>
          <w:tcPr>
            <w:tcW w:w="244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13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r>
      <w:tr>
        <w:trPr>
          <w:trHeight w:val="230"/>
        </w:trPr>
        <w:tc>
          <w:tcPr>
            <w:tcW w:w="2000" w:type="dxa"/>
            <w:vAlign w:val="bottom"/>
          </w:tcPr>
          <w:p>
            <w:pPr>
              <w:spacing w:after="0"/>
              <w:rPr>
                <w:sz w:val="19"/>
                <w:szCs w:val="19"/>
                <w:color w:val="auto"/>
              </w:rPr>
            </w:pPr>
          </w:p>
        </w:tc>
        <w:tc>
          <w:tcPr>
            <w:tcW w:w="2540" w:type="dxa"/>
            <w:vAlign w:val="bottom"/>
          </w:tcPr>
          <w:p>
            <w:pPr>
              <w:ind w:left="80"/>
              <w:spacing w:after="0"/>
              <w:rPr>
                <w:sz w:val="20"/>
                <w:szCs w:val="20"/>
                <w:color w:val="auto"/>
              </w:rPr>
            </w:pPr>
            <w:r>
              <w:rPr>
                <w:rFonts w:ascii="Arial" w:cs="Arial" w:eastAsia="Arial" w:hAnsi="Arial"/>
                <w:sz w:val="18"/>
                <w:szCs w:val="18"/>
                <w:color w:val="auto"/>
              </w:rPr>
              <w:t>Expired - 2012</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(455,000)</w:t>
            </w: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10"/>
        </w:trPr>
        <w:tc>
          <w:tcPr>
            <w:tcW w:w="2000" w:type="dxa"/>
            <w:vAlign w:val="bottom"/>
          </w:tcPr>
          <w:p>
            <w:pPr>
              <w:spacing w:after="0"/>
              <w:rPr>
                <w:sz w:val="18"/>
                <w:szCs w:val="18"/>
                <w:color w:val="auto"/>
              </w:rPr>
            </w:pPr>
          </w:p>
        </w:tc>
        <w:tc>
          <w:tcPr>
            <w:tcW w:w="2540" w:type="dxa"/>
            <w:vAlign w:val="bottom"/>
            <w:tcBorders>
              <w:top w:val="single" w:sz="8" w:color="CCEECC"/>
            </w:tcBorders>
            <w:shd w:val="clear" w:color="auto" w:fill="CCEECC"/>
          </w:tcPr>
          <w:p>
            <w:pPr>
              <w:ind w:left="260"/>
              <w:spacing w:after="0"/>
              <w:rPr>
                <w:sz w:val="20"/>
                <w:szCs w:val="20"/>
                <w:color w:val="auto"/>
              </w:rPr>
            </w:pPr>
            <w:r>
              <w:rPr>
                <w:rFonts w:ascii="Arial" w:cs="Arial" w:eastAsia="Arial" w:hAnsi="Arial"/>
                <w:sz w:val="18"/>
                <w:szCs w:val="18"/>
                <w:color w:val="auto"/>
                <w:w w:val="96"/>
              </w:rPr>
              <w:t>Balance, December 31, 2012</w:t>
            </w:r>
          </w:p>
        </w:tc>
        <w:tc>
          <w:tcPr>
            <w:tcW w:w="23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Borders>
              <w:top w:val="single" w:sz="8" w:color="CCEECC"/>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1040" w:type="dxa"/>
            <w:vAlign w:val="bottom"/>
            <w:tcBorders>
              <w:top w:val="single" w:sz="8" w:color="auto"/>
            </w:tcBorders>
            <w:shd w:val="clear" w:color="auto" w:fill="CCEECC"/>
          </w:tcPr>
          <w:p>
            <w:pPr>
              <w:spacing w:after="0"/>
              <w:rPr>
                <w:sz w:val="18"/>
                <w:szCs w:val="18"/>
                <w:color w:val="auto"/>
              </w:rPr>
            </w:pPr>
          </w:p>
        </w:tc>
        <w:tc>
          <w:tcPr>
            <w:tcW w:w="128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1.58</w:t>
            </w:r>
          </w:p>
        </w:tc>
        <w:tc>
          <w:tcPr>
            <w:tcW w:w="60" w:type="dxa"/>
            <w:vAlign w:val="bottom"/>
            <w:tcBorders>
              <w:top w:val="single" w:sz="8" w:color="CCEECC"/>
            </w:tcBorders>
            <w:shd w:val="clear" w:color="auto" w:fill="CCEECC"/>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2540" w:type="dxa"/>
            <w:vAlign w:val="bottom"/>
          </w:tcPr>
          <w:p>
            <w:pPr>
              <w:ind w:left="80"/>
              <w:spacing w:after="0"/>
              <w:rPr>
                <w:sz w:val="20"/>
                <w:szCs w:val="20"/>
                <w:color w:val="auto"/>
              </w:rPr>
            </w:pPr>
            <w:r>
              <w:rPr>
                <w:rFonts w:ascii="Arial" w:cs="Arial" w:eastAsia="Arial" w:hAnsi="Arial"/>
                <w:sz w:val="18"/>
                <w:szCs w:val="18"/>
                <w:color w:val="auto"/>
              </w:rPr>
              <w:t>Granted - 2013</w:t>
            </w:r>
          </w:p>
        </w:tc>
        <w:tc>
          <w:tcPr>
            <w:tcW w:w="24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00" w:type="dxa"/>
            <w:vAlign w:val="bottom"/>
          </w:tcPr>
          <w:p>
            <w:pPr>
              <w:spacing w:after="0"/>
              <w:rPr>
                <w:sz w:val="18"/>
                <w:szCs w:val="18"/>
                <w:color w:val="auto"/>
              </w:rPr>
            </w:pPr>
          </w:p>
        </w:tc>
        <w:tc>
          <w:tcPr>
            <w:tcW w:w="2540" w:type="dxa"/>
            <w:vAlign w:val="bottom"/>
            <w:shd w:val="clear" w:color="auto" w:fill="CCEECC"/>
          </w:tcPr>
          <w:p>
            <w:pPr>
              <w:ind w:left="80"/>
              <w:spacing w:after="0"/>
              <w:rPr>
                <w:sz w:val="20"/>
                <w:szCs w:val="20"/>
                <w:color w:val="auto"/>
              </w:rPr>
            </w:pPr>
            <w:r>
              <w:rPr>
                <w:rFonts w:ascii="Arial" w:cs="Arial" w:eastAsia="Arial" w:hAnsi="Arial"/>
                <w:sz w:val="18"/>
                <w:szCs w:val="18"/>
                <w:color w:val="auto"/>
              </w:rPr>
              <w:t>Exercised - 2013</w:t>
            </w:r>
          </w:p>
        </w:tc>
        <w:tc>
          <w:tcPr>
            <w:tcW w:w="244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13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r>
      <w:tr>
        <w:trPr>
          <w:trHeight w:val="230"/>
        </w:trPr>
        <w:tc>
          <w:tcPr>
            <w:tcW w:w="2000" w:type="dxa"/>
            <w:vAlign w:val="bottom"/>
          </w:tcPr>
          <w:p>
            <w:pPr>
              <w:spacing w:after="0"/>
              <w:rPr>
                <w:sz w:val="19"/>
                <w:szCs w:val="19"/>
                <w:color w:val="auto"/>
              </w:rPr>
            </w:pPr>
          </w:p>
        </w:tc>
        <w:tc>
          <w:tcPr>
            <w:tcW w:w="2540" w:type="dxa"/>
            <w:vAlign w:val="bottom"/>
          </w:tcPr>
          <w:p>
            <w:pPr>
              <w:ind w:left="80"/>
              <w:spacing w:after="0"/>
              <w:rPr>
                <w:sz w:val="20"/>
                <w:szCs w:val="20"/>
                <w:color w:val="auto"/>
              </w:rPr>
            </w:pPr>
            <w:r>
              <w:rPr>
                <w:rFonts w:ascii="Arial" w:cs="Arial" w:eastAsia="Arial" w:hAnsi="Arial"/>
                <w:sz w:val="18"/>
                <w:szCs w:val="18"/>
                <w:color w:val="auto"/>
              </w:rPr>
              <w:t>Expired - 2013</w:t>
            </w:r>
          </w:p>
        </w:tc>
        <w:tc>
          <w:tcPr>
            <w:tcW w:w="24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23"/>
        </w:trPr>
        <w:tc>
          <w:tcPr>
            <w:tcW w:w="2000" w:type="dxa"/>
            <w:vAlign w:val="bottom"/>
          </w:tcPr>
          <w:p>
            <w:pPr>
              <w:spacing w:after="0"/>
              <w:rPr>
                <w:sz w:val="19"/>
                <w:szCs w:val="19"/>
                <w:color w:val="auto"/>
              </w:rPr>
            </w:pPr>
          </w:p>
        </w:tc>
        <w:tc>
          <w:tcPr>
            <w:tcW w:w="2540" w:type="dxa"/>
            <w:vAlign w:val="bottom"/>
            <w:tcBorders>
              <w:top w:val="single" w:sz="8" w:color="CCEECC"/>
              <w:bottom w:val="single" w:sz="8" w:color="CCEECC"/>
            </w:tcBorders>
            <w:shd w:val="clear" w:color="auto" w:fill="CCEECC"/>
          </w:tcPr>
          <w:p>
            <w:pPr>
              <w:ind w:left="260"/>
              <w:spacing w:after="0"/>
              <w:rPr>
                <w:sz w:val="20"/>
                <w:szCs w:val="20"/>
                <w:color w:val="auto"/>
              </w:rPr>
            </w:pPr>
            <w:r>
              <w:rPr>
                <w:rFonts w:ascii="Arial" w:cs="Arial" w:eastAsia="Arial" w:hAnsi="Arial"/>
                <w:sz w:val="18"/>
                <w:szCs w:val="18"/>
                <w:color w:val="auto"/>
              </w:rPr>
              <w:t>Balance, March 31, 2013</w:t>
            </w:r>
          </w:p>
        </w:tc>
        <w:tc>
          <w:tcPr>
            <w:tcW w:w="23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1040" w:type="dxa"/>
            <w:vAlign w:val="bottom"/>
            <w:tcBorders>
              <w:top w:val="single" w:sz="8" w:color="auto"/>
              <w:bottom w:val="single" w:sz="8" w:color="auto"/>
            </w:tcBorders>
            <w:shd w:val="clear" w:color="auto" w:fill="CCEECC"/>
          </w:tcPr>
          <w:p>
            <w:pPr>
              <w:jc w:val="right"/>
              <w:ind w:right="8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1.58</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4540" w:type="dxa"/>
            <w:vAlign w:val="bottom"/>
            <w:gridSpan w:val="2"/>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6980" w:type="dxa"/>
            <w:vAlign w:val="bottom"/>
            <w:gridSpan w:val="4"/>
          </w:tcPr>
          <w:p>
            <w:pPr>
              <w:jc w:val="right"/>
              <w:ind w:right="1460"/>
              <w:spacing w:after="0"/>
              <w:rPr>
                <w:sz w:val="20"/>
                <w:szCs w:val="20"/>
                <w:color w:val="auto"/>
              </w:rPr>
            </w:pPr>
            <w:r>
              <w:rPr>
                <w:rFonts w:ascii="Arial" w:cs="Arial" w:eastAsia="Arial" w:hAnsi="Arial"/>
                <w:sz w:val="18"/>
                <w:szCs w:val="18"/>
                <w:color w:val="auto"/>
                <w:w w:val="91"/>
              </w:rPr>
              <w:t>The Company had the following warrants outstanding as of March 31, 2013:</w:t>
            </w: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6"/>
        </w:trPr>
        <w:tc>
          <w:tcPr>
            <w:tcW w:w="2000" w:type="dxa"/>
            <w:vAlign w:val="bottom"/>
          </w:tcPr>
          <w:p>
            <w:pPr>
              <w:spacing w:after="0"/>
              <w:rPr>
                <w:sz w:val="24"/>
                <w:szCs w:val="24"/>
                <w:color w:val="auto"/>
              </w:rPr>
            </w:pPr>
          </w:p>
        </w:tc>
        <w:tc>
          <w:tcPr>
            <w:tcW w:w="2540" w:type="dxa"/>
            <w:vAlign w:val="bottom"/>
            <w:tcBorders>
              <w:bottom w:val="single" w:sz="8" w:color="CCEECC"/>
            </w:tcBorders>
          </w:tcPr>
          <w:p>
            <w:pPr>
              <w:spacing w:after="0"/>
              <w:rPr>
                <w:sz w:val="24"/>
                <w:szCs w:val="24"/>
                <w:color w:val="auto"/>
              </w:rPr>
            </w:pPr>
          </w:p>
        </w:tc>
        <w:tc>
          <w:tcPr>
            <w:tcW w:w="244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Number of Warrants</w:t>
            </w:r>
          </w:p>
        </w:tc>
        <w:tc>
          <w:tcPr>
            <w:tcW w:w="60" w:type="dxa"/>
            <w:vAlign w:val="bottom"/>
            <w:tcBorders>
              <w:bottom w:val="single" w:sz="8" w:color="CCEECC"/>
            </w:tcBorders>
          </w:tcPr>
          <w:p>
            <w:pPr>
              <w:spacing w:after="0"/>
              <w:rPr>
                <w:sz w:val="24"/>
                <w:szCs w:val="24"/>
                <w:color w:val="auto"/>
              </w:rPr>
            </w:pPr>
          </w:p>
        </w:tc>
        <w:tc>
          <w:tcPr>
            <w:tcW w:w="23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9"/>
              </w:rPr>
              <w:t>Weighted average exercise price</w:t>
            </w:r>
          </w:p>
        </w:tc>
      </w:tr>
      <w:tr>
        <w:trPr>
          <w:trHeight w:val="210"/>
        </w:trPr>
        <w:tc>
          <w:tcPr>
            <w:tcW w:w="2000" w:type="dxa"/>
            <w:vAlign w:val="bottom"/>
          </w:tcPr>
          <w:p>
            <w:pPr>
              <w:spacing w:after="0"/>
              <w:rPr>
                <w:sz w:val="18"/>
                <w:szCs w:val="18"/>
                <w:color w:val="auto"/>
              </w:rPr>
            </w:pPr>
          </w:p>
        </w:tc>
        <w:tc>
          <w:tcPr>
            <w:tcW w:w="2540" w:type="dxa"/>
            <w:vAlign w:val="bottom"/>
            <w:shd w:val="clear" w:color="auto" w:fill="CCEECC"/>
          </w:tcPr>
          <w:p>
            <w:pPr>
              <w:ind w:left="80"/>
              <w:spacing w:after="0"/>
              <w:rPr>
                <w:sz w:val="20"/>
                <w:szCs w:val="20"/>
                <w:color w:val="auto"/>
              </w:rPr>
            </w:pPr>
            <w:r>
              <w:rPr>
                <w:rFonts w:ascii="Arial" w:cs="Arial" w:eastAsia="Arial" w:hAnsi="Arial"/>
                <w:sz w:val="18"/>
                <w:szCs w:val="18"/>
                <w:color w:val="auto"/>
              </w:rPr>
              <w:t>Outstanding, January 1, 2012</w:t>
            </w:r>
          </w:p>
        </w:tc>
        <w:tc>
          <w:tcPr>
            <w:tcW w:w="244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14,344,434</w:t>
            </w:r>
          </w:p>
        </w:tc>
        <w:tc>
          <w:tcPr>
            <w:tcW w:w="60" w:type="dxa"/>
            <w:vAlign w:val="bottom"/>
            <w:shd w:val="clear" w:color="auto" w:fill="CCEECC"/>
          </w:tcPr>
          <w:p>
            <w:pPr>
              <w:spacing w:after="0"/>
              <w:rPr>
                <w:sz w:val="18"/>
                <w:szCs w:val="18"/>
                <w:color w:val="auto"/>
              </w:rPr>
            </w:pPr>
          </w:p>
        </w:tc>
        <w:tc>
          <w:tcPr>
            <w:tcW w:w="1040" w:type="dxa"/>
            <w:vAlign w:val="bottom"/>
            <w:shd w:val="clear" w:color="auto" w:fill="CCEECC"/>
          </w:tcPr>
          <w:p>
            <w:pPr>
              <w:jc w:val="right"/>
              <w:ind w:right="8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2.41</w:t>
            </w:r>
          </w:p>
        </w:tc>
      </w:tr>
      <w:tr>
        <w:trPr>
          <w:trHeight w:val="216"/>
        </w:trPr>
        <w:tc>
          <w:tcPr>
            <w:tcW w:w="2000" w:type="dxa"/>
            <w:vAlign w:val="bottom"/>
          </w:tcPr>
          <w:p>
            <w:pPr>
              <w:spacing w:after="0"/>
              <w:rPr>
                <w:sz w:val="18"/>
                <w:szCs w:val="18"/>
                <w:color w:val="auto"/>
              </w:rPr>
            </w:pPr>
          </w:p>
        </w:tc>
        <w:tc>
          <w:tcPr>
            <w:tcW w:w="2540" w:type="dxa"/>
            <w:vAlign w:val="bottom"/>
          </w:tcPr>
          <w:p>
            <w:pPr>
              <w:ind w:left="80"/>
              <w:spacing w:after="0"/>
              <w:rPr>
                <w:sz w:val="20"/>
                <w:szCs w:val="20"/>
                <w:color w:val="auto"/>
              </w:rPr>
            </w:pPr>
            <w:r>
              <w:rPr>
                <w:rFonts w:ascii="Arial" w:cs="Arial" w:eastAsia="Arial" w:hAnsi="Arial"/>
                <w:sz w:val="18"/>
                <w:szCs w:val="18"/>
                <w:color w:val="auto"/>
              </w:rPr>
              <w:t>Granted - 2012</w:t>
            </w:r>
          </w:p>
        </w:tc>
        <w:tc>
          <w:tcPr>
            <w:tcW w:w="24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00" w:type="dxa"/>
            <w:vAlign w:val="bottom"/>
          </w:tcPr>
          <w:p>
            <w:pPr>
              <w:spacing w:after="0"/>
              <w:rPr>
                <w:sz w:val="18"/>
                <w:szCs w:val="18"/>
                <w:color w:val="auto"/>
              </w:rPr>
            </w:pPr>
          </w:p>
        </w:tc>
        <w:tc>
          <w:tcPr>
            <w:tcW w:w="2540" w:type="dxa"/>
            <w:vAlign w:val="bottom"/>
            <w:shd w:val="clear" w:color="auto" w:fill="CCEECC"/>
          </w:tcPr>
          <w:p>
            <w:pPr>
              <w:ind w:left="80"/>
              <w:spacing w:after="0"/>
              <w:rPr>
                <w:sz w:val="20"/>
                <w:szCs w:val="20"/>
                <w:color w:val="auto"/>
              </w:rPr>
            </w:pPr>
            <w:r>
              <w:rPr>
                <w:rFonts w:ascii="Arial" w:cs="Arial" w:eastAsia="Arial" w:hAnsi="Arial"/>
                <w:sz w:val="18"/>
                <w:szCs w:val="18"/>
                <w:color w:val="auto"/>
              </w:rPr>
              <w:t>Exercised - 2012</w:t>
            </w:r>
          </w:p>
        </w:tc>
        <w:tc>
          <w:tcPr>
            <w:tcW w:w="244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13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r>
      <w:tr>
        <w:trPr>
          <w:trHeight w:val="230"/>
        </w:trPr>
        <w:tc>
          <w:tcPr>
            <w:tcW w:w="2000" w:type="dxa"/>
            <w:vAlign w:val="bottom"/>
          </w:tcPr>
          <w:p>
            <w:pPr>
              <w:spacing w:after="0"/>
              <w:rPr>
                <w:sz w:val="19"/>
                <w:szCs w:val="19"/>
                <w:color w:val="auto"/>
              </w:rPr>
            </w:pPr>
          </w:p>
        </w:tc>
        <w:tc>
          <w:tcPr>
            <w:tcW w:w="2540" w:type="dxa"/>
            <w:vAlign w:val="bottom"/>
          </w:tcPr>
          <w:p>
            <w:pPr>
              <w:ind w:left="80"/>
              <w:spacing w:after="0"/>
              <w:rPr>
                <w:sz w:val="20"/>
                <w:szCs w:val="20"/>
                <w:color w:val="auto"/>
              </w:rPr>
            </w:pPr>
            <w:r>
              <w:rPr>
                <w:rFonts w:ascii="Arial" w:cs="Arial" w:eastAsia="Arial" w:hAnsi="Arial"/>
                <w:sz w:val="18"/>
                <w:szCs w:val="18"/>
                <w:color w:val="auto"/>
              </w:rPr>
              <w:t>Expired - 2012</w:t>
            </w:r>
          </w:p>
        </w:tc>
        <w:tc>
          <w:tcPr>
            <w:tcW w:w="24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0"/>
        </w:trPr>
        <w:tc>
          <w:tcPr>
            <w:tcW w:w="2000" w:type="dxa"/>
            <w:vAlign w:val="bottom"/>
          </w:tcPr>
          <w:p>
            <w:pPr>
              <w:spacing w:after="0"/>
              <w:rPr>
                <w:sz w:val="18"/>
                <w:szCs w:val="18"/>
                <w:color w:val="auto"/>
              </w:rPr>
            </w:pPr>
          </w:p>
        </w:tc>
        <w:tc>
          <w:tcPr>
            <w:tcW w:w="2540" w:type="dxa"/>
            <w:vAlign w:val="bottom"/>
            <w:tcBorders>
              <w:top w:val="single" w:sz="8" w:color="CCEECC"/>
            </w:tcBorders>
            <w:shd w:val="clear" w:color="auto" w:fill="CCEECC"/>
          </w:tcPr>
          <w:p>
            <w:pPr>
              <w:ind w:left="260"/>
              <w:spacing w:after="0"/>
              <w:rPr>
                <w:sz w:val="20"/>
                <w:szCs w:val="20"/>
                <w:color w:val="auto"/>
              </w:rPr>
            </w:pPr>
            <w:r>
              <w:rPr>
                <w:rFonts w:ascii="Arial" w:cs="Arial" w:eastAsia="Arial" w:hAnsi="Arial"/>
                <w:sz w:val="18"/>
                <w:szCs w:val="18"/>
                <w:color w:val="auto"/>
                <w:w w:val="96"/>
              </w:rPr>
              <w:t>Balance, December 31, 2012</w:t>
            </w:r>
          </w:p>
        </w:tc>
        <w:tc>
          <w:tcPr>
            <w:tcW w:w="23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14,344,434</w:t>
            </w:r>
          </w:p>
        </w:tc>
        <w:tc>
          <w:tcPr>
            <w:tcW w:w="80" w:type="dxa"/>
            <w:vAlign w:val="bottom"/>
            <w:tcBorders>
              <w:top w:val="single" w:sz="8" w:color="CCEECC"/>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1040" w:type="dxa"/>
            <w:vAlign w:val="bottom"/>
            <w:tcBorders>
              <w:top w:val="single" w:sz="8" w:color="auto"/>
            </w:tcBorders>
            <w:shd w:val="clear" w:color="auto" w:fill="CCEECC"/>
          </w:tcPr>
          <w:p>
            <w:pPr>
              <w:spacing w:after="0"/>
              <w:rPr>
                <w:sz w:val="18"/>
                <w:szCs w:val="18"/>
                <w:color w:val="auto"/>
              </w:rPr>
            </w:pPr>
          </w:p>
        </w:tc>
        <w:tc>
          <w:tcPr>
            <w:tcW w:w="128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2.41</w:t>
            </w:r>
          </w:p>
        </w:tc>
        <w:tc>
          <w:tcPr>
            <w:tcW w:w="60" w:type="dxa"/>
            <w:vAlign w:val="bottom"/>
            <w:tcBorders>
              <w:top w:val="single" w:sz="8" w:color="CCEECC"/>
            </w:tcBorders>
            <w:shd w:val="clear" w:color="auto" w:fill="CCEECC"/>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2540" w:type="dxa"/>
            <w:vAlign w:val="bottom"/>
          </w:tcPr>
          <w:p>
            <w:pPr>
              <w:ind w:left="80"/>
              <w:spacing w:after="0"/>
              <w:rPr>
                <w:sz w:val="20"/>
                <w:szCs w:val="20"/>
                <w:color w:val="auto"/>
              </w:rPr>
            </w:pPr>
            <w:r>
              <w:rPr>
                <w:rFonts w:ascii="Arial" w:cs="Arial" w:eastAsia="Arial" w:hAnsi="Arial"/>
                <w:sz w:val="18"/>
                <w:szCs w:val="18"/>
                <w:color w:val="auto"/>
              </w:rPr>
              <w:t>Granted - 2013</w:t>
            </w:r>
          </w:p>
        </w:tc>
        <w:tc>
          <w:tcPr>
            <w:tcW w:w="24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00" w:type="dxa"/>
            <w:vAlign w:val="bottom"/>
          </w:tcPr>
          <w:p>
            <w:pPr>
              <w:spacing w:after="0"/>
              <w:rPr>
                <w:sz w:val="18"/>
                <w:szCs w:val="18"/>
                <w:color w:val="auto"/>
              </w:rPr>
            </w:pPr>
          </w:p>
        </w:tc>
        <w:tc>
          <w:tcPr>
            <w:tcW w:w="2540" w:type="dxa"/>
            <w:vAlign w:val="bottom"/>
            <w:shd w:val="clear" w:color="auto" w:fill="CCEECC"/>
          </w:tcPr>
          <w:p>
            <w:pPr>
              <w:ind w:left="80"/>
              <w:spacing w:after="0"/>
              <w:rPr>
                <w:sz w:val="20"/>
                <w:szCs w:val="20"/>
                <w:color w:val="auto"/>
              </w:rPr>
            </w:pPr>
            <w:r>
              <w:rPr>
                <w:rFonts w:ascii="Arial" w:cs="Arial" w:eastAsia="Arial" w:hAnsi="Arial"/>
                <w:sz w:val="18"/>
                <w:szCs w:val="18"/>
                <w:color w:val="auto"/>
              </w:rPr>
              <w:t>Exercised - 2013</w:t>
            </w:r>
          </w:p>
        </w:tc>
        <w:tc>
          <w:tcPr>
            <w:tcW w:w="244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13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r>
      <w:tr>
        <w:trPr>
          <w:trHeight w:val="230"/>
        </w:trPr>
        <w:tc>
          <w:tcPr>
            <w:tcW w:w="2000" w:type="dxa"/>
            <w:vAlign w:val="bottom"/>
          </w:tcPr>
          <w:p>
            <w:pPr>
              <w:spacing w:after="0"/>
              <w:rPr>
                <w:sz w:val="19"/>
                <w:szCs w:val="19"/>
                <w:color w:val="auto"/>
              </w:rPr>
            </w:pPr>
          </w:p>
        </w:tc>
        <w:tc>
          <w:tcPr>
            <w:tcW w:w="2540" w:type="dxa"/>
            <w:vAlign w:val="bottom"/>
          </w:tcPr>
          <w:p>
            <w:pPr>
              <w:ind w:left="80"/>
              <w:spacing w:after="0"/>
              <w:rPr>
                <w:sz w:val="20"/>
                <w:szCs w:val="20"/>
                <w:color w:val="auto"/>
              </w:rPr>
            </w:pPr>
            <w:r>
              <w:rPr>
                <w:rFonts w:ascii="Arial" w:cs="Arial" w:eastAsia="Arial" w:hAnsi="Arial"/>
                <w:sz w:val="18"/>
                <w:szCs w:val="18"/>
                <w:color w:val="auto"/>
              </w:rPr>
              <w:t>Expired - 2013</w:t>
            </w:r>
          </w:p>
        </w:tc>
        <w:tc>
          <w:tcPr>
            <w:tcW w:w="24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23"/>
        </w:trPr>
        <w:tc>
          <w:tcPr>
            <w:tcW w:w="2000" w:type="dxa"/>
            <w:vAlign w:val="bottom"/>
          </w:tcPr>
          <w:p>
            <w:pPr>
              <w:spacing w:after="0"/>
              <w:rPr>
                <w:sz w:val="19"/>
                <w:szCs w:val="19"/>
                <w:color w:val="auto"/>
              </w:rPr>
            </w:pPr>
          </w:p>
        </w:tc>
        <w:tc>
          <w:tcPr>
            <w:tcW w:w="2540" w:type="dxa"/>
            <w:vAlign w:val="bottom"/>
            <w:tcBorders>
              <w:top w:val="single" w:sz="8" w:color="CCEECC"/>
              <w:bottom w:val="single" w:sz="8" w:color="CCEECC"/>
            </w:tcBorders>
            <w:shd w:val="clear" w:color="auto" w:fill="CCEECC"/>
          </w:tcPr>
          <w:p>
            <w:pPr>
              <w:ind w:left="260"/>
              <w:spacing w:after="0"/>
              <w:rPr>
                <w:sz w:val="20"/>
                <w:szCs w:val="20"/>
                <w:color w:val="auto"/>
              </w:rPr>
            </w:pPr>
            <w:r>
              <w:rPr>
                <w:rFonts w:ascii="Arial" w:cs="Arial" w:eastAsia="Arial" w:hAnsi="Arial"/>
                <w:sz w:val="18"/>
                <w:szCs w:val="18"/>
                <w:color w:val="auto"/>
              </w:rPr>
              <w:t>Balance, March 31, 2013</w:t>
            </w:r>
          </w:p>
        </w:tc>
        <w:tc>
          <w:tcPr>
            <w:tcW w:w="23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14,344,434</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1040" w:type="dxa"/>
            <w:vAlign w:val="bottom"/>
            <w:tcBorders>
              <w:top w:val="single" w:sz="8" w:color="auto"/>
              <w:bottom w:val="single" w:sz="8" w:color="auto"/>
            </w:tcBorders>
            <w:shd w:val="clear" w:color="auto" w:fill="CCEECC"/>
          </w:tcPr>
          <w:p>
            <w:pPr>
              <w:jc w:val="right"/>
              <w:ind w:right="8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2.41</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0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13 – OPERATING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signed a lease for new office space on December 1, 2011 at an approximate rent of $5,000 per month. The new offices are in Rochester, Michigan. The lease is for three years with an option to renew for an additional two years at approximately $5,200 per month with six months advance notice to exercise the option. Minimum annual rent is as follows for the initial term of the lease: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360" w:type="dxa"/>
            <w:vAlign w:val="bottom"/>
            <w:shd w:val="clear" w:color="auto" w:fill="CCEECC"/>
          </w:tcPr>
          <w:p>
            <w:pPr>
              <w:ind w:left="80"/>
              <w:spacing w:after="0"/>
              <w:rPr>
                <w:sz w:val="20"/>
                <w:szCs w:val="20"/>
                <w:color w:val="auto"/>
              </w:rPr>
            </w:pPr>
            <w:r>
              <w:rPr>
                <w:rFonts w:ascii="Arial" w:cs="Arial" w:eastAsia="Arial" w:hAnsi="Arial"/>
                <w:sz w:val="18"/>
                <w:szCs w:val="18"/>
                <w:color w:val="auto"/>
                <w:w w:val="88"/>
              </w:rPr>
              <w:t>Year ended December 31, 2013</w:t>
            </w:r>
          </w:p>
        </w:tc>
        <w:tc>
          <w:tcPr>
            <w:tcW w:w="1720" w:type="dxa"/>
            <w:vAlign w:val="bottom"/>
            <w:gridSpan w:val="2"/>
            <w:shd w:val="clear" w:color="auto" w:fill="CCEECC"/>
          </w:tcPr>
          <w:p>
            <w:pPr>
              <w:jc w:val="right"/>
              <w:ind w:right="325"/>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60,591</w:t>
            </w:r>
          </w:p>
        </w:tc>
        <w:tc>
          <w:tcPr>
            <w:tcW w:w="314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360" w:type="dxa"/>
            <w:vAlign w:val="bottom"/>
          </w:tcPr>
          <w:p>
            <w:pPr>
              <w:ind w:left="40"/>
              <w:spacing w:after="0"/>
              <w:rPr>
                <w:sz w:val="20"/>
                <w:szCs w:val="20"/>
                <w:color w:val="auto"/>
              </w:rPr>
            </w:pPr>
            <w:r>
              <w:rPr>
                <w:rFonts w:ascii="Arial" w:cs="Arial" w:eastAsia="Arial" w:hAnsi="Arial"/>
                <w:sz w:val="18"/>
                <w:szCs w:val="18"/>
                <w:color w:val="auto"/>
              </w:rPr>
              <w:t>2014</w:t>
            </w: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55,542</w:t>
            </w:r>
          </w:p>
        </w:tc>
        <w:tc>
          <w:tcPr>
            <w:tcW w:w="3140" w:type="dxa"/>
            <w:vAlign w:val="bottom"/>
          </w:tcPr>
          <w:p>
            <w:pPr>
              <w:spacing w:after="0"/>
              <w:rPr>
                <w:sz w:val="18"/>
                <w:szCs w:val="18"/>
                <w:color w:val="auto"/>
              </w:rPr>
            </w:pPr>
          </w:p>
        </w:tc>
      </w:tr>
      <w:tr>
        <w:trPr>
          <w:trHeight w:val="230"/>
        </w:trPr>
        <w:tc>
          <w:tcPr>
            <w:tcW w:w="3160" w:type="dxa"/>
            <w:vAlign w:val="bottom"/>
          </w:tcPr>
          <w:p>
            <w:pPr>
              <w:spacing w:after="0"/>
              <w:rPr>
                <w:sz w:val="19"/>
                <w:szCs w:val="19"/>
                <w:color w:val="auto"/>
              </w:rPr>
            </w:pPr>
          </w:p>
        </w:tc>
        <w:tc>
          <w:tcPr>
            <w:tcW w:w="2360" w:type="dxa"/>
            <w:vAlign w:val="bottom"/>
            <w:shd w:val="clear" w:color="auto" w:fill="CCEECC"/>
          </w:tcPr>
          <w:p>
            <w:pPr>
              <w:ind w:left="40"/>
              <w:spacing w:after="0"/>
              <w:rPr>
                <w:sz w:val="20"/>
                <w:szCs w:val="20"/>
                <w:color w:val="auto"/>
              </w:rPr>
            </w:pPr>
            <w:r>
              <w:rPr>
                <w:rFonts w:ascii="Arial" w:cs="Arial" w:eastAsia="Arial" w:hAnsi="Arial"/>
                <w:sz w:val="18"/>
                <w:szCs w:val="18"/>
                <w:color w:val="auto"/>
              </w:rPr>
              <w:t>2015</w:t>
            </w:r>
          </w:p>
        </w:tc>
        <w:tc>
          <w:tcPr>
            <w:tcW w:w="1240" w:type="dxa"/>
            <w:vAlign w:val="bottom"/>
            <w:shd w:val="clear" w:color="auto" w:fill="CCEECC"/>
          </w:tcPr>
          <w:p>
            <w:pPr>
              <w:spacing w:after="0"/>
              <w:rPr>
                <w:sz w:val="19"/>
                <w:szCs w:val="19"/>
                <w:color w:val="auto"/>
              </w:rPr>
            </w:pPr>
          </w:p>
        </w:tc>
        <w:tc>
          <w:tcPr>
            <w:tcW w:w="480" w:type="dxa"/>
            <w:vAlign w:val="bottom"/>
            <w:tcBorders>
              <w:bottom w:val="single" w:sz="8" w:color="auto"/>
            </w:tcBorders>
            <w:shd w:val="clear" w:color="auto" w:fill="CCEECC"/>
          </w:tcPr>
          <w:p>
            <w:pPr>
              <w:spacing w:after="0"/>
              <w:rPr>
                <w:sz w:val="19"/>
                <w:szCs w:val="19"/>
                <w:color w:val="auto"/>
              </w:rPr>
            </w:pPr>
          </w:p>
        </w:tc>
        <w:tc>
          <w:tcPr>
            <w:tcW w:w="1040" w:type="dxa"/>
            <w:vAlign w:val="bottom"/>
            <w:tcBorders>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3140" w:type="dxa"/>
            <w:vAlign w:val="bottom"/>
          </w:tcPr>
          <w:p>
            <w:pPr>
              <w:spacing w:after="0"/>
              <w:rPr>
                <w:sz w:val="19"/>
                <w:szCs w:val="19"/>
                <w:color w:val="auto"/>
              </w:rPr>
            </w:pPr>
          </w:p>
        </w:tc>
      </w:tr>
      <w:tr>
        <w:trPr>
          <w:trHeight w:val="223"/>
        </w:trPr>
        <w:tc>
          <w:tcPr>
            <w:tcW w:w="3160" w:type="dxa"/>
            <w:vAlign w:val="bottom"/>
          </w:tcPr>
          <w:p>
            <w:pPr>
              <w:spacing w:after="0"/>
              <w:rPr>
                <w:sz w:val="19"/>
                <w:szCs w:val="19"/>
                <w:color w:val="auto"/>
              </w:rPr>
            </w:pPr>
          </w:p>
        </w:tc>
        <w:tc>
          <w:tcPr>
            <w:tcW w:w="2360" w:type="dxa"/>
            <w:vAlign w:val="bottom"/>
          </w:tcPr>
          <w:p>
            <w:pPr>
              <w:ind w:left="40"/>
              <w:spacing w:after="0"/>
              <w:rPr>
                <w:sz w:val="20"/>
                <w:szCs w:val="20"/>
                <w:color w:val="auto"/>
              </w:rPr>
            </w:pPr>
            <w:r>
              <w:rPr>
                <w:rFonts w:ascii="Arial" w:cs="Arial" w:eastAsia="Arial" w:hAnsi="Arial"/>
                <w:sz w:val="18"/>
                <w:szCs w:val="18"/>
                <w:color w:val="auto"/>
              </w:rPr>
              <w:t>Total lease commitment</w:t>
            </w:r>
          </w:p>
        </w:tc>
        <w:tc>
          <w:tcPr>
            <w:tcW w:w="1240" w:type="dxa"/>
            <w:vAlign w:val="bottom"/>
          </w:tcPr>
          <w:p>
            <w:pPr>
              <w:spacing w:after="0"/>
              <w:rPr>
                <w:sz w:val="19"/>
                <w:szCs w:val="19"/>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116,133</w:t>
            </w:r>
          </w:p>
        </w:tc>
        <w:tc>
          <w:tcPr>
            <w:tcW w:w="3140" w:type="dxa"/>
            <w:vAlign w:val="bottom"/>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386"/>
        </w:trPr>
        <w:tc>
          <w:tcPr>
            <w:tcW w:w="3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r>
        <w:trPr>
          <w:trHeight w:val="224"/>
        </w:trPr>
        <w:tc>
          <w:tcPr>
            <w:tcW w:w="31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20" w:type="dxa"/>
            <w:vAlign w:val="bottom"/>
            <w:gridSpan w:val="2"/>
          </w:tcPr>
          <w:p>
            <w:pPr>
              <w:jc w:val="right"/>
              <w:ind w:right="1285"/>
              <w:spacing w:after="0"/>
              <w:rPr>
                <w:sz w:val="20"/>
                <w:szCs w:val="20"/>
                <w:color w:val="auto"/>
              </w:rPr>
            </w:pPr>
            <w:r>
              <w:rPr>
                <w:rFonts w:ascii="Arial" w:cs="Arial" w:eastAsia="Arial" w:hAnsi="Arial"/>
                <w:sz w:val="18"/>
                <w:szCs w:val="18"/>
                <w:color w:val="auto"/>
                <w:w w:val="91"/>
              </w:rPr>
              <w:t>F-12</w:t>
            </w:r>
          </w:p>
        </w:tc>
        <w:tc>
          <w:tcPr>
            <w:tcW w:w="1040" w:type="dxa"/>
            <w:vAlign w:val="bottom"/>
          </w:tcPr>
          <w:p>
            <w:pPr>
              <w:spacing w:after="0"/>
              <w:rPr>
                <w:sz w:val="19"/>
                <w:szCs w:val="19"/>
                <w:color w:val="auto"/>
              </w:rPr>
            </w:pPr>
          </w:p>
        </w:tc>
        <w:tc>
          <w:tcPr>
            <w:tcW w:w="314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14 – MAJOR CUSTOMERS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had three major customers that accounted for 72% and four major customers that accounted for 74% of the Company’s revenues for the three months ended March 31, 2013 and 2012, respectively. The Company expects to continue to maintain these relationships with the customers.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15 – INCOME TAXES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three months ended March 31, 2013, the Company incurred a net loss of approximately $105,000 and therefore has no tax liability. The Company began operations in 2007 and has previous net operating loss carry-forwards of $13,843,000 through December 31, 2012. The cumulative loss of $13,948,000 will be carried forward and can be used through the year 2033 to offset future taxable income. In the future, the cumulative net operating loss carry-forward for income tax purposes may differ from the cumulative financial statement loss due to timing differences between book and tax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Federal income tax consists of the following for the three months ended March 31, 2013 and 2012:</w:t>
      </w:r>
    </w:p>
    <w:p>
      <w:pPr>
        <w:spacing w:after="0" w:line="239"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4080" w:type="dxa"/>
            <w:vAlign w:val="bottom"/>
            <w:vMerge w:val="restart"/>
          </w:tcPr>
          <w:p>
            <w:pPr>
              <w:spacing w:after="0"/>
              <w:rPr>
                <w:sz w:val="20"/>
                <w:szCs w:val="20"/>
                <w:color w:val="auto"/>
              </w:rPr>
            </w:pPr>
            <w:r>
              <w:rPr>
                <w:rFonts w:ascii="Arial" w:cs="Arial" w:eastAsia="Arial" w:hAnsi="Arial"/>
                <w:sz w:val="18"/>
                <w:szCs w:val="18"/>
                <w:color w:val="auto"/>
              </w:rPr>
              <w:t>Federal income tax benefit attributable to:</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5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08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Current operations</w:t>
            </w:r>
          </w:p>
        </w:tc>
        <w:tc>
          <w:tcPr>
            <w:tcW w:w="1000" w:type="dxa"/>
            <w:vAlign w:val="bottom"/>
            <w:shd w:val="clear" w:color="auto" w:fill="CCEECC"/>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36,000</w:t>
            </w:r>
          </w:p>
        </w:tc>
        <w:tc>
          <w:tcPr>
            <w:tcW w:w="440" w:type="dxa"/>
            <w:vAlign w:val="bottom"/>
            <w:gridSpan w:val="2"/>
            <w:shd w:val="clear" w:color="auto" w:fill="CCEECC"/>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102,000</w:t>
            </w:r>
          </w:p>
        </w:tc>
        <w:tc>
          <w:tcPr>
            <w:tcW w:w="0" w:type="dxa"/>
            <w:vAlign w:val="bottom"/>
          </w:tcPr>
          <w:p>
            <w:pPr>
              <w:spacing w:after="0"/>
              <w:rPr>
                <w:sz w:val="1"/>
                <w:szCs w:val="1"/>
                <w:color w:val="auto"/>
              </w:rPr>
            </w:pPr>
          </w:p>
        </w:tc>
      </w:tr>
      <w:tr>
        <w:trPr>
          <w:trHeight w:val="230"/>
        </w:trPr>
        <w:tc>
          <w:tcPr>
            <w:tcW w:w="4080" w:type="dxa"/>
            <w:vAlign w:val="bottom"/>
          </w:tcPr>
          <w:p>
            <w:pPr>
              <w:ind w:left="100"/>
              <w:spacing w:after="0"/>
              <w:rPr>
                <w:sz w:val="20"/>
                <w:szCs w:val="20"/>
                <w:color w:val="auto"/>
              </w:rPr>
            </w:pPr>
            <w:r>
              <w:rPr>
                <w:rFonts w:ascii="Arial" w:cs="Arial" w:eastAsia="Arial" w:hAnsi="Arial"/>
                <w:sz w:val="18"/>
                <w:szCs w:val="18"/>
                <w:color w:val="auto"/>
              </w:rPr>
              <w:t>Valuation allowance</w:t>
            </w:r>
          </w:p>
        </w:tc>
        <w:tc>
          <w:tcPr>
            <w:tcW w:w="10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(36,000)</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(102,000)</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CC"/>
              <w:bottom w:val="single" w:sz="8" w:color="CCEECC"/>
            </w:tcBorders>
            <w:shd w:val="clear" w:color="auto" w:fill="CCEECC"/>
          </w:tcPr>
          <w:p>
            <w:pPr>
              <w:ind w:left="280"/>
              <w:spacing w:after="0"/>
              <w:rPr>
                <w:sz w:val="20"/>
                <w:szCs w:val="20"/>
                <w:color w:val="auto"/>
              </w:rPr>
            </w:pPr>
            <w:r>
              <w:rPr>
                <w:rFonts w:ascii="Arial" w:cs="Arial" w:eastAsia="Arial" w:hAnsi="Arial"/>
                <w:sz w:val="18"/>
                <w:szCs w:val="18"/>
                <w:color w:val="auto"/>
              </w:rPr>
              <w:t>Net provision for federal income tax</w:t>
            </w:r>
          </w:p>
        </w:tc>
        <w:tc>
          <w:tcPr>
            <w:tcW w:w="1000" w:type="dxa"/>
            <w:vAlign w:val="bottom"/>
            <w:tcBorders>
              <w:top w:val="single" w:sz="8" w:color="auto"/>
              <w:bottom w:val="single" w:sz="8" w:color="auto"/>
            </w:tcBorders>
            <w:shd w:val="clear" w:color="auto" w:fill="CCEECC"/>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380" w:type="dxa"/>
            <w:vAlign w:val="bottom"/>
            <w:tcBorders>
              <w:top w:val="single" w:sz="8" w:color="auto"/>
              <w:bottom w:val="single" w:sz="8" w:color="auto"/>
            </w:tcBorders>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cumulative tax effect at the expected rate of 34% of significant items comprising our net deferred tax amount is as follows as of March 31, 2013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224"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4080" w:type="dxa"/>
            <w:vAlign w:val="bottom"/>
            <w:vMerge w:val="restart"/>
          </w:tcPr>
          <w:p>
            <w:pPr>
              <w:spacing w:after="0"/>
              <w:rPr>
                <w:sz w:val="20"/>
                <w:szCs w:val="20"/>
                <w:color w:val="auto"/>
              </w:rPr>
            </w:pPr>
            <w:r>
              <w:rPr>
                <w:rFonts w:ascii="Arial" w:cs="Arial" w:eastAsia="Arial" w:hAnsi="Arial"/>
                <w:sz w:val="18"/>
                <w:szCs w:val="18"/>
                <w:color w:val="auto"/>
              </w:rPr>
              <w:t>Deferred tax asset attributable to:</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0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Net operating loss carryover</w:t>
            </w:r>
          </w:p>
        </w:tc>
        <w:tc>
          <w:tcPr>
            <w:tcW w:w="360" w:type="dxa"/>
            <w:vAlign w:val="bottom"/>
            <w:shd w:val="clear" w:color="auto" w:fill="CCEEC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4,742,000</w:t>
            </w:r>
          </w:p>
        </w:tc>
        <w:tc>
          <w:tcPr>
            <w:tcW w:w="440" w:type="dxa"/>
            <w:vAlign w:val="bottom"/>
            <w:gridSpan w:val="2"/>
            <w:shd w:val="clear" w:color="auto" w:fill="CCEECC"/>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4,706,000</w:t>
            </w: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0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(4,742,000)</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(4,706,000)</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CC"/>
              <w:bottom w:val="single" w:sz="8" w:color="CCEECC"/>
            </w:tcBorders>
            <w:shd w:val="clear" w:color="auto" w:fill="CCEECC"/>
          </w:tcPr>
          <w:p>
            <w:pPr>
              <w:ind w:left="280"/>
              <w:spacing w:after="0"/>
              <w:rPr>
                <w:sz w:val="20"/>
                <w:szCs w:val="20"/>
                <w:color w:val="auto"/>
              </w:rPr>
            </w:pPr>
            <w:r>
              <w:rPr>
                <w:rFonts w:ascii="Arial" w:cs="Arial" w:eastAsia="Arial" w:hAnsi="Arial"/>
                <w:sz w:val="18"/>
                <w:szCs w:val="18"/>
                <w:color w:val="auto"/>
              </w:rPr>
              <w:t>Net deferred tax asset</w:t>
            </w:r>
          </w:p>
        </w:tc>
        <w:tc>
          <w:tcPr>
            <w:tcW w:w="360" w:type="dxa"/>
            <w:vAlign w:val="bottom"/>
            <w:tcBorders>
              <w:top w:val="single" w:sz="8" w:color="auto"/>
              <w:bottom w:val="single" w:sz="8" w:color="auto"/>
            </w:tcBorders>
            <w:shd w:val="clear" w:color="auto" w:fill="CCEEC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380" w:type="dxa"/>
            <w:vAlign w:val="bottom"/>
            <w:tcBorders>
              <w:top w:val="single" w:sz="8" w:color="auto"/>
              <w:bottom w:val="single" w:sz="8" w:color="auto"/>
            </w:tcBorders>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change in ownership provisions of the Tax Reform Act of 1986, net operating loss carry forwards of approximately $13,948,000 for Federal income tax reporting purposes are subject to annual limitations. Should a change in ownership occur, net operating loss carry forwards may be limited as to use in future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16 – CONTINGENT LIABILITY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14, 2013, the Company hired a new CEO. The employment agreement requires annual compensation of $175,000 that will be accrued and deferred until at least January 1, 2014. Additionally, the agreement requires the issuance of 2,000,000 options with an exercise price of $1.00 for a term of five years. The options are not exercisable until at least January 1, 2014, and are only exercisable after reaching certain financial terms and conditions. Due to these restrictions, no accrual has been made for the issuance of these options.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17 – 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consisted of the following for the three months ended March 31, 2013 and 2012, respectively:</w:t>
      </w:r>
    </w:p>
    <w:p>
      <w:pPr>
        <w:spacing w:after="0" w:line="239"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4080" w:type="dxa"/>
            <w:vAlign w:val="bottom"/>
            <w:tcBorders>
              <w:bottom w:val="single" w:sz="8" w:color="CCEE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2012</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r>
      <w:tr>
        <w:trPr>
          <w:trHeight w:val="210"/>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Advertising</w:t>
            </w:r>
          </w:p>
        </w:tc>
        <w:tc>
          <w:tcPr>
            <w:tcW w:w="360" w:type="dxa"/>
            <w:vAlign w:val="bottom"/>
            <w:shd w:val="clear" w:color="auto" w:fill="CCEEC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3,340</w:t>
            </w: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60" w:type="dxa"/>
            <w:vAlign w:val="bottom"/>
            <w:shd w:val="clear" w:color="auto" w:fill="CCEECC"/>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11,270</w:t>
            </w:r>
          </w:p>
        </w:tc>
        <w:tc>
          <w:tcPr>
            <w:tcW w:w="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r>
      <w:tr>
        <w:trPr>
          <w:trHeight w:val="216"/>
        </w:trPr>
        <w:tc>
          <w:tcPr>
            <w:tcW w:w="4080" w:type="dxa"/>
            <w:vAlign w:val="bottom"/>
          </w:tcPr>
          <w:p>
            <w:pPr>
              <w:ind w:left="100"/>
              <w:spacing w:after="0"/>
              <w:rPr>
                <w:sz w:val="20"/>
                <w:szCs w:val="20"/>
                <w:color w:val="auto"/>
              </w:rPr>
            </w:pPr>
            <w:r>
              <w:rPr>
                <w:rFonts w:ascii="Arial" w:cs="Arial" w:eastAsia="Arial" w:hAnsi="Arial"/>
                <w:sz w:val="18"/>
                <w:szCs w:val="18"/>
                <w:color w:val="auto"/>
              </w:rPr>
              <w:t>Professional fees</w:t>
            </w:r>
          </w:p>
        </w:tc>
        <w:tc>
          <w:tcPr>
            <w:tcW w:w="3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53,098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38,003</w:t>
            </w:r>
          </w:p>
        </w:tc>
        <w:tc>
          <w:tcPr>
            <w:tcW w:w="40" w:type="dxa"/>
            <w:vAlign w:val="bottom"/>
          </w:tcPr>
          <w:p>
            <w:pPr>
              <w:spacing w:after="0"/>
              <w:rPr>
                <w:sz w:val="18"/>
                <w:szCs w:val="18"/>
                <w:color w:val="auto"/>
              </w:rPr>
            </w:pPr>
          </w:p>
        </w:tc>
      </w:tr>
      <w:tr>
        <w:trPr>
          <w:trHeight w:val="216"/>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Consulting</w:t>
            </w:r>
          </w:p>
        </w:tc>
        <w:tc>
          <w:tcPr>
            <w:tcW w:w="36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20,407</w:t>
            </w: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6,615</w:t>
            </w:r>
          </w:p>
        </w:tc>
        <w:tc>
          <w:tcPr>
            <w:tcW w:w="40" w:type="dxa"/>
            <w:vAlign w:val="bottom"/>
            <w:shd w:val="clear" w:color="auto" w:fill="CCEECC"/>
          </w:tcPr>
          <w:p>
            <w:pPr>
              <w:spacing w:after="0"/>
              <w:rPr>
                <w:sz w:val="18"/>
                <w:szCs w:val="18"/>
                <w:color w:val="auto"/>
              </w:rPr>
            </w:pPr>
          </w:p>
        </w:tc>
      </w:tr>
      <w:tr>
        <w:trPr>
          <w:trHeight w:val="216"/>
        </w:trPr>
        <w:tc>
          <w:tcPr>
            <w:tcW w:w="4080" w:type="dxa"/>
            <w:vAlign w:val="bottom"/>
          </w:tcPr>
          <w:p>
            <w:pPr>
              <w:ind w:left="100"/>
              <w:spacing w:after="0"/>
              <w:rPr>
                <w:sz w:val="20"/>
                <w:szCs w:val="20"/>
                <w:color w:val="auto"/>
              </w:rPr>
            </w:pPr>
            <w:r>
              <w:rPr>
                <w:rFonts w:ascii="Arial" w:cs="Arial" w:eastAsia="Arial" w:hAnsi="Arial"/>
                <w:sz w:val="18"/>
                <w:szCs w:val="18"/>
                <w:color w:val="auto"/>
              </w:rPr>
              <w:t>Salaries, wages and benefits</w:t>
            </w:r>
          </w:p>
        </w:tc>
        <w:tc>
          <w:tcPr>
            <w:tcW w:w="3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375,071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306,895</w:t>
            </w:r>
          </w:p>
        </w:tc>
        <w:tc>
          <w:tcPr>
            <w:tcW w:w="40" w:type="dxa"/>
            <w:vAlign w:val="bottom"/>
          </w:tcPr>
          <w:p>
            <w:pPr>
              <w:spacing w:after="0"/>
              <w:rPr>
                <w:sz w:val="18"/>
                <w:szCs w:val="18"/>
                <w:color w:val="auto"/>
              </w:rPr>
            </w:pPr>
          </w:p>
        </w:tc>
      </w:tr>
      <w:tr>
        <w:trPr>
          <w:trHeight w:val="216"/>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Rent</w:t>
            </w:r>
          </w:p>
        </w:tc>
        <w:tc>
          <w:tcPr>
            <w:tcW w:w="36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15,148</w:t>
            </w: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16,918</w:t>
            </w:r>
          </w:p>
        </w:tc>
        <w:tc>
          <w:tcPr>
            <w:tcW w:w="40" w:type="dxa"/>
            <w:vAlign w:val="bottom"/>
            <w:shd w:val="clear" w:color="auto" w:fill="CCEECC"/>
          </w:tcPr>
          <w:p>
            <w:pPr>
              <w:spacing w:after="0"/>
              <w:rPr>
                <w:sz w:val="18"/>
                <w:szCs w:val="18"/>
                <w:color w:val="auto"/>
              </w:rPr>
            </w:pPr>
          </w:p>
        </w:tc>
      </w:tr>
      <w:tr>
        <w:trPr>
          <w:trHeight w:val="216"/>
        </w:trPr>
        <w:tc>
          <w:tcPr>
            <w:tcW w:w="408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48,111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46,023</w:t>
            </w:r>
          </w:p>
        </w:tc>
        <w:tc>
          <w:tcPr>
            <w:tcW w:w="40" w:type="dxa"/>
            <w:vAlign w:val="bottom"/>
          </w:tcPr>
          <w:p>
            <w:pPr>
              <w:spacing w:after="0"/>
              <w:rPr>
                <w:sz w:val="18"/>
                <w:szCs w:val="18"/>
                <w:color w:val="auto"/>
              </w:rPr>
            </w:pPr>
          </w:p>
        </w:tc>
      </w:tr>
      <w:tr>
        <w:trPr>
          <w:trHeight w:val="216"/>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10,002</w:t>
            </w: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127,548</w:t>
            </w:r>
          </w:p>
        </w:tc>
        <w:tc>
          <w:tcPr>
            <w:tcW w:w="40" w:type="dxa"/>
            <w:vAlign w:val="bottom"/>
            <w:shd w:val="clear" w:color="auto" w:fill="CCEECC"/>
          </w:tcPr>
          <w:p>
            <w:pPr>
              <w:spacing w:after="0"/>
              <w:rPr>
                <w:sz w:val="18"/>
                <w:szCs w:val="18"/>
                <w:color w:val="auto"/>
              </w:rPr>
            </w:pPr>
          </w:p>
        </w:tc>
      </w:tr>
      <w:tr>
        <w:trPr>
          <w:trHeight w:val="216"/>
        </w:trPr>
        <w:tc>
          <w:tcPr>
            <w:tcW w:w="4080" w:type="dxa"/>
            <w:vAlign w:val="bottom"/>
          </w:tcPr>
          <w:p>
            <w:pPr>
              <w:ind w:left="100"/>
              <w:spacing w:after="0"/>
              <w:rPr>
                <w:sz w:val="20"/>
                <w:szCs w:val="20"/>
                <w:color w:val="auto"/>
              </w:rPr>
            </w:pPr>
            <w:r>
              <w:rPr>
                <w:rFonts w:ascii="Arial" w:cs="Arial" w:eastAsia="Arial" w:hAnsi="Arial"/>
                <w:sz w:val="18"/>
                <w:szCs w:val="18"/>
                <w:color w:val="auto"/>
              </w:rPr>
              <w:t>Revenue share expense</w:t>
            </w:r>
          </w:p>
        </w:tc>
        <w:tc>
          <w:tcPr>
            <w:tcW w:w="3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40,203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r>
      <w:tr>
        <w:trPr>
          <w:trHeight w:val="230"/>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CC"/>
          </w:tcPr>
          <w:p>
            <w:pPr>
              <w:spacing w:after="0"/>
              <w:rPr>
                <w:sz w:val="19"/>
                <w:szCs w:val="19"/>
                <w:color w:val="auto"/>
              </w:rPr>
            </w:pPr>
          </w:p>
        </w:tc>
        <w:tc>
          <w:tcPr>
            <w:tcW w:w="12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208,792</w:t>
            </w:r>
          </w:p>
        </w:tc>
        <w:tc>
          <w:tcPr>
            <w:tcW w:w="6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360" w:type="dxa"/>
            <w:vAlign w:val="bottom"/>
            <w:shd w:val="clear" w:color="auto" w:fill="CCEECC"/>
          </w:tcPr>
          <w:p>
            <w:pPr>
              <w:spacing w:after="0"/>
              <w:rPr>
                <w:sz w:val="19"/>
                <w:szCs w:val="19"/>
                <w:color w:val="auto"/>
              </w:rPr>
            </w:pPr>
          </w:p>
        </w:tc>
        <w:tc>
          <w:tcPr>
            <w:tcW w:w="12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77,050</w:t>
            </w:r>
          </w:p>
        </w:tc>
        <w:tc>
          <w:tcPr>
            <w:tcW w:w="40" w:type="dxa"/>
            <w:vAlign w:val="bottom"/>
            <w:shd w:val="clear" w:color="auto" w:fill="CCEECC"/>
          </w:tcPr>
          <w:p>
            <w:pPr>
              <w:spacing w:after="0"/>
              <w:rPr>
                <w:sz w:val="19"/>
                <w:szCs w:val="19"/>
                <w:color w:val="auto"/>
              </w:rPr>
            </w:pPr>
          </w:p>
        </w:tc>
      </w:tr>
      <w:tr>
        <w:trPr>
          <w:trHeight w:val="223"/>
        </w:trPr>
        <w:tc>
          <w:tcPr>
            <w:tcW w:w="4080" w:type="dxa"/>
            <w:vAlign w:val="bottom"/>
          </w:tcPr>
          <w:p>
            <w:pPr>
              <w:ind w:left="1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774,172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630,322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18 – SECURITIES REDEMPTION OPTION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10, 2013, the Company entered into a Securities Redemption Option Agreement with Vicis Capital Master Fund (“Vicis”) that provides the Company with an option to purchase all of the outstanding shares and derivative securities held by Vicis for total payment of nine million dollars ($9,000,000). The shares and derivative securities include the Series A Convertible Preferred Stock, Series B Convertible Preferred Stock, Common Stock, and warrants to purchase shares of Series A Convertible Preferred Stock and Series B Convertible Preferred Stock held by Vicis. The Company’s option expires on December 31, 2013 and may be extinguished if Vicis sells its securities before the Company exercises its option.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NOTE 19 – SUBSEQUENT EVENTS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accordance with ASC 855-10, the Company has analyzed its operations subsequent to March 31, 2013 through the date these financial statements were issued and has determined that it does not have any material subsequent events to disclose in these financial statements other than the events described above.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affect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more than doubled our revenues from $329,403 in Q1 2012 to $669,290 in Q1 2013. Our bottom line improved with net loss of $104,826 in Q1 2013, as compared with a net loss of $300,734 in Q1 2012. As net income less all non-cash expenses was $2,963 in Q1 2013, the total loss for the period was due in large part to the $150,000 payment to Allscripts for revenue share and final development payout.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Q1 2013, SampleMD generated 177,000 new ePrescriptions with Co-Pay Coupons of Free Sample Voucher to help patients more affordably start and stay on their prescribed medications. In March of 2013 alone we distributed over 85,000 patient coupons. We look forward to increasing our ability to generate more prescriptions for our pharmaceutical clients, increasing our revenue contributions to our ePrescribing and EHR partners, and improving adherence and outcomes for health care providers and their patients.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Kicking off the new year, we have continued to drive our two primary messages to the pharmaceutical industry:</w:t>
      </w:r>
    </w:p>
    <w:p>
      <w:pPr>
        <w:spacing w:after="0" w:line="225" w:lineRule="exact"/>
        <w:rPr>
          <w:sz w:val="20"/>
          <w:szCs w:val="20"/>
          <w:color w:val="auto"/>
        </w:rPr>
      </w:pPr>
    </w:p>
    <w:p>
      <w:pPr>
        <w:ind w:firstLine="8"/>
        <w:spacing w:after="0" w:line="277" w:lineRule="auto"/>
        <w:tabs>
          <w:tab w:leader="none" w:pos="202" w:val="left"/>
        </w:tabs>
        <w:numPr>
          <w:ilvl w:val="0"/>
          <w:numId w:val="1"/>
        </w:numPr>
        <w:rPr>
          <w:rFonts w:ascii="Arial" w:cs="Arial" w:eastAsia="Arial" w:hAnsi="Arial"/>
          <w:sz w:val="18"/>
          <w:szCs w:val="18"/>
          <w:color w:val="auto"/>
        </w:rPr>
      </w:pPr>
      <w:r>
        <w:rPr>
          <w:rFonts w:ascii="Arial" w:cs="Arial" w:eastAsia="Arial" w:hAnsi="Arial"/>
          <w:sz w:val="18"/>
          <w:szCs w:val="18"/>
          <w:color w:val="auto"/>
        </w:rPr>
        <w:t>SampleMD has the largest capacity to deliver targeted promotional and incentive messaging to physicians at point of prescription through interoperability with multiple disparate electronic health platforms; and</w:t>
      </w:r>
    </w:p>
    <w:p>
      <w:pPr>
        <w:spacing w:after="0" w:line="170" w:lineRule="exact"/>
        <w:rPr>
          <w:rFonts w:ascii="Arial" w:cs="Arial" w:eastAsia="Arial" w:hAnsi="Arial"/>
          <w:sz w:val="18"/>
          <w:szCs w:val="18"/>
          <w:color w:val="auto"/>
        </w:rPr>
      </w:pPr>
    </w:p>
    <w:p>
      <w:pPr>
        <w:ind w:firstLine="8"/>
        <w:spacing w:after="0" w:line="342" w:lineRule="auto"/>
        <w:tabs>
          <w:tab w:leader="none" w:pos="199" w:val="left"/>
        </w:tabs>
        <w:numPr>
          <w:ilvl w:val="0"/>
          <w:numId w:val="1"/>
        </w:numPr>
        <w:rPr>
          <w:rFonts w:ascii="Arial" w:cs="Arial" w:eastAsia="Arial" w:hAnsi="Arial"/>
          <w:sz w:val="16"/>
          <w:szCs w:val="16"/>
          <w:color w:val="auto"/>
        </w:rPr>
      </w:pPr>
      <w:r>
        <w:rPr>
          <w:rFonts w:ascii="Arial" w:cs="Arial" w:eastAsia="Arial" w:hAnsi="Arial"/>
          <w:sz w:val="16"/>
          <w:szCs w:val="16"/>
          <w:color w:val="auto"/>
        </w:rPr>
        <w:t>Electronic health platforms (EMRs, eRx, Patient Portals) are the most cost-effective way to reach physicians and patients, as opposed to external web sites that have been traditionally the focus of their non-rep marketing, and should therefore be an increasing focus for all pharmaceutical marketing dollars.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Q1 2013, we renewed and launched many brand support programs, including eVouchers, eCopay Coupons and Patient Education, from all of the major pharmaceutical and medical manufacturers currently engaged within the SampleMD promotional program. We launched new programs with Eli Lilly, Roche Diagnostics, Pfizer, Daiichi Sankyo, Alcon Laboratories, and many others. The industry continues to acknowledge SampleMD’s leadership in the marketplace through new program awards and new inquiries for partnerships.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also continued the integration for SampleMD into HealthTronics, the largest Urology EMR in the country, which serves over 2,200 doctors and is targeted to launch in Q2 2013. This specialty network is very significant to some of our current coupons for brands like Cialis and Vesicare, as well as positioning us to acquire other new brands and manufacturers who seek to reach these types of specialists. SampleMD is also in direct discussion with some of the largest remaining EMRs and ePrescribing platforms, along with the largest hospitals and health systems.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further escalate our value and growth, we have formalized a partnership agreement with one of the premier and most respective brands in the industry: PDR, also known and Physicians Desk Reference. This allows both companies to leverage synergistic strengths to offer more solutions and reach to the pharmaceutical industry, as well as more value to the electronic health records (EMR/EHR) platforms. SampleMD will be PDR’s eCoupon and Rep invite platform, and PDR will enable expansion of SampleMD’s reach to additional EMRs and directly to physicians' offices via a PDR-branded downloadable desktop application of the SampleMD solution.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previously noted, in Q4 2012, we were awarded a patent for our innovative SampleMD solution (US Patent No. 8,341,015). We continue to utilize Harness, Dickey &amp; Pierce, a nationally ranked IP firm, to further expand and protect our intellectual property. Through them, we have filed two additional patents on our technology, and we will also use them, along with corporate counsel, to aggressively protect our IP. Management believes our current IP pipline, as well as our ongoing focus on expanding and protecting our IP, will allow us to continue being the leader in this rapidly growing space.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summary, we remain committed to working with top organizations to provided better affordability and access to healthcare for the patients we serve. To achieve this, we will continue to work with leading providers in partnering to provide simple to use solutions. As compliance and regulatory requirements (i.e. meaningful use) continue to surround healthcare providers, OptimizeRx continues through its partnerships and internal R&amp;D to become the “HUB” for providing access to these ease-of-use solutions.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these continued efforts, we believe that SampleMD continues to be regarded as the innovative industry leader, setting the standards within this new frontier of digital EMR solution marketing for patient care.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Nine Months Ended March 31, 2013 and 2011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total revenue reported for Q1 2013 was $669,290, an increase of $339,887 from Q1 2012.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increased revenue for Q1 2013 as compared with Q1 2012 is a result of the continued viability of our SampleMD solution and the setup and integration fees for pharmaceutical manufacturers whom are participating within this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expenses increased to $774,172 for Q1 2013 from $630,322 for Q1 2012. Our major expenses for Q1 2013 were payroll of $281,786, development costs of $160,908, employee benefits of $49,535, depreciation and amortization of $48,111, accrued payroll of $43,750, legal and accounting expenses of $41,598, and revenue share expenses of $40,203. In comparison, our major expenses for Q1 2012 were payroll of $251,227, share based compensation of $127,548, employee benefits of $55,668, and depreciation and amortization of $46,023.</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expenses increased in Q1 2013 as compared with Q1 2012 largely as a result of increased development costs, payroll, legal and accounting fees, and consulting fees, in addition to accrued payroll and revenue share expenses which were non-existent in Q1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loss for Q1 2013 was $104,826, compared to net loss of $300,734, for Q1 2012.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2013, we had total current assets of $953,399 and total assets in the amount of $2,141,841. Our total current liabilities as of March 31, 2013 were $751,208. We had working capital of $202,191 as of March 31, 2013.</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activities provided $6,499 in cash for the three months ended March 31, 2013. Our positive operating cash flow was largely a result of $48,111 in depreciation and amortization, $37,750 in accrued expenses, $35,822 in prepaid expenses, and $31,520 in deferred revenue, offset by our net loss of $104,826 and accounts receivable of $43,871.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 used $30,368 during the three months ended March 31, 2013 entirely as a result of patent rights.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September 16, 2011, we entered into a Securities Purchase Agreement with Vicis Capital Master Fund for sale of up to 50 shares of our Series B Preferred Stock and warrants to purchase up to 3,333,334 shares of our common stock with an exercise price of $3.00 per share.</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sold 15 shares of Series B Preferred Stock and a warrant to purchase 1,000,000 shares of our common stock at the above exercise price for $1,500,000. This money was used to pay off a promissory note we had with Physicians Interactive and the balance is for working capital.</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financing deal with Vicis has lapsed according to the terms of the Securities Purchase Agreement. However, we are in discussions with Vicis, who we feel is a committed financial partner, to address our capital needs as we continue to generate revenues and our business expands. There is no written agreement in place for such financing, but we will update our disclosures if and when such financing becomes available.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10, 2013, we entered into a Securities Redemption Option Agreement with Vicis that provides us with an option to purchase all of the outstanding shares and derivative securities held by Vicis for total payment of nine million dollars ($9,000,000). The shares and derivative securities include the Series A Convertible Preferred Stock, Series B Convertible Preferred Stock, Common Stock, and warrants to purchase shares of Series A Convertible Preferred Stock and Series B Convertible Preferred Stock held by Vicis. Our option expires on December 31, 2013 and may be extinguished if Vicis sells its securities before we exercise our option.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2013, with the current level of financing and cash on hand, we have sufficient cash to operate our business at the current level for the next twelve months but insufficient cash to achieve our business goals unless we: a) realize cash revenues on sales generated; and/or b) receive financing from Vicis. We are uncertain what type of financing we will need as we continue to ramp up our revenue stream. As mentioned, we are continually in contact with Vicis about our financing needs and hope to have something in place if we need more cash.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2013, there were no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are set forth in Note 2 to the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carried out an evaluation of the effectiveness of the design and operation of our disclosure controls and procedures (as defined in Exchange Act Rules 13a-15(e) and 15d-15(e)) as of March 31, 2013. This evaluation was carried out under the supervision and with the participation of our Chief Executive Officer and Chief Financial Officer, Mr. David Lester. Based upon that evaluation, our Chief Executive Officer and Chief Financial Officer concluded that, as of March 31, 2013, our disclosure controls and procedures are effective. There have been no significant changes in our internal controls over financial reporting during the quarter ended March 31, 2013 that have materially affected or are reasonably likely to materially affect such controls.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Limitations on the Effectiveness of Internal Controls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necessarily prevent all fraud and material error. An internal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internal control.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the policies or procedures may deteriorate.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Aside from the following, we are not a party to any pending legal proceeding. We are not aware of any pending legal proceeding to which any of our officers, directors, or any beneficial holders of 5% or more of our voting securities are adverse to us or have a material interest adverse to us.</w:t>
      </w:r>
    </w:p>
    <w:p>
      <w:pPr>
        <w:spacing w:after="0" w:line="14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November 5, 2012, LDM Group, LLC commenced an action against us in the United States District Court for the Eastern District of Missouri, Eastern Division. The complaint alleges that we infringed on a patent issued on February 21, 2012 in favor of LDM. LDM alleges that its patent is an invention of a method for making available targeted content to a prescription medication patient while the patient is still in the physician’s office. According to LDM, our Integrated SampleMD uses systems and methods that perform the elements of the LDM patent and, therefore, infringes on its patent. On February 25, 2013, a Settlement and Patent License Agreement was reached with LDM, and LDM subsequently dismissed the lawsuit with prejudice. On April 23, 2013, we were notified by LDM that they are going to attempt to terminate that agreement, and reinstitute the patent infringement action. We intend to vigorously enforce the Settlement and Patent License Agreement and defend the action brought by LDM.</w:t>
      </w:r>
    </w:p>
    <w:p>
      <w:pPr>
        <w:spacing w:after="0" w:line="17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On February 6, 2013, we filed a Complaint for Patent Infringement against Physicians Interactive Inc., Physicians Interactive Holdings,Inc. and Skyscape.com, in which we allege that one or more of those entities has infringed on United States Patent No. 8,341,015. As of March 31, 2013, no further action has occurred in that case.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gridSpan w:val="3"/>
          </w:tcPr>
          <w:p>
            <w:pPr>
              <w:spacing w:after="0"/>
              <w:rPr>
                <w:sz w:val="20"/>
                <w:szCs w:val="20"/>
                <w:color w:val="auto"/>
              </w:rPr>
            </w:pPr>
            <w:r>
              <w:rPr>
                <w:rFonts w:ascii="Arial" w:cs="Arial" w:eastAsia="Arial" w:hAnsi="Arial"/>
                <w:sz w:val="18"/>
                <w:szCs w:val="18"/>
                <w:color w:val="auto"/>
              </w:rPr>
              <w:t>None</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820" w:type="dxa"/>
            <w:vAlign w:val="bottom"/>
            <w:gridSpan w:val="6"/>
          </w:tcPr>
          <w:p>
            <w:pPr>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240" w:type="dxa"/>
            <w:vAlign w:val="bottom"/>
          </w:tcPr>
          <w:p>
            <w:pPr>
              <w:spacing w:after="0"/>
              <w:rPr>
                <w:sz w:val="17"/>
                <w:szCs w:val="17"/>
                <w:color w:val="auto"/>
              </w:rPr>
            </w:pPr>
          </w:p>
        </w:tc>
        <w:tc>
          <w:tcPr>
            <w:tcW w:w="97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Certification of Chief Executive Officer pursuant to 18 U.S.C. Section 1350, as adopted pursuant to Section 302 of the Sarbanes-Oxley</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2"/>
              </w:rPr>
              <w:t>Act of 2002</w:t>
            </w:r>
          </w:p>
        </w:tc>
        <w:tc>
          <w:tcPr>
            <w:tcW w:w="89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31.2</w:t>
            </w:r>
          </w:p>
        </w:tc>
        <w:tc>
          <w:tcPr>
            <w:tcW w:w="240" w:type="dxa"/>
            <w:vAlign w:val="bottom"/>
          </w:tcPr>
          <w:p>
            <w:pPr>
              <w:spacing w:after="0"/>
              <w:rPr>
                <w:sz w:val="17"/>
                <w:szCs w:val="17"/>
                <w:color w:val="auto"/>
              </w:rPr>
            </w:pPr>
          </w:p>
        </w:tc>
        <w:tc>
          <w:tcPr>
            <w:tcW w:w="97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Certification of Chief Financial Officer pursuant to 18 U.S.C. Section 1350, as adopted pursuant to Section 302 of the Sarbanes-Oxley</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2"/>
              </w:rPr>
              <w:t>Act of 2002</w:t>
            </w:r>
          </w:p>
        </w:tc>
        <w:tc>
          <w:tcPr>
            <w:tcW w:w="89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32.1</w:t>
            </w:r>
          </w:p>
        </w:tc>
        <w:tc>
          <w:tcPr>
            <w:tcW w:w="240" w:type="dxa"/>
            <w:vAlign w:val="bottom"/>
          </w:tcPr>
          <w:p>
            <w:pPr>
              <w:spacing w:after="0"/>
              <w:rPr>
                <w:sz w:val="17"/>
                <w:szCs w:val="17"/>
                <w:color w:val="auto"/>
              </w:rPr>
            </w:pPr>
          </w:p>
        </w:tc>
        <w:tc>
          <w:tcPr>
            <w:tcW w:w="97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6"/>
              </w:rPr>
              <w:t>Certification of Chief Executive Officer and Chief Financial Officer pursuant to 18 U.S.C. Section 1350, as adopted pursuant to</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20" w:type="dxa"/>
            <w:vAlign w:val="bottom"/>
            <w:gridSpan w:val="6"/>
          </w:tcPr>
          <w:p>
            <w:pPr>
              <w:spacing w:after="0" w:line="196" w:lineRule="exact"/>
              <w:rPr>
                <w:sz w:val="20"/>
                <w:szCs w:val="20"/>
                <w:color w:val="auto"/>
              </w:rPr>
            </w:pPr>
            <w:r>
              <w:rPr>
                <w:rFonts w:ascii="Arial" w:cs="Arial" w:eastAsia="Arial" w:hAnsi="Arial"/>
                <w:sz w:val="18"/>
                <w:szCs w:val="18"/>
                <w:color w:val="0000EE"/>
              </w:rPr>
              <w:t>Section 906 of the Sarbanes-Oxley Act of 2002</w:t>
            </w: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36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9"/>
                <w:szCs w:val="19"/>
                <w:color w:val="auto"/>
              </w:rPr>
            </w:pPr>
          </w:p>
        </w:tc>
        <w:tc>
          <w:tcPr>
            <w:tcW w:w="9820" w:type="dxa"/>
            <w:vAlign w:val="bottom"/>
            <w:gridSpan w:val="6"/>
          </w:tcPr>
          <w:p>
            <w:pPr>
              <w:spacing w:after="0"/>
              <w:rPr>
                <w:sz w:val="20"/>
                <w:szCs w:val="20"/>
                <w:color w:val="auto"/>
              </w:rPr>
            </w:pPr>
            <w:r>
              <w:rPr>
                <w:rFonts w:ascii="Arial" w:cs="Arial" w:eastAsia="Arial" w:hAnsi="Arial"/>
                <w:sz w:val="18"/>
                <w:szCs w:val="18"/>
                <w:color w:val="auto"/>
                <w:w w:val="97"/>
              </w:rPr>
              <w:t>The following materials from the Company’s Quarterly Report on Form 10-Q for the quarter ended March 31, 2013 formatted in</w:t>
            </w:r>
          </w:p>
        </w:tc>
        <w:tc>
          <w:tcPr>
            <w:tcW w:w="0" w:type="dxa"/>
            <w:vAlign w:val="bottom"/>
          </w:tcPr>
          <w:p>
            <w:pPr>
              <w:spacing w:after="0"/>
              <w:rPr>
                <w:sz w:val="1"/>
                <w:szCs w:val="1"/>
                <w:color w:val="auto"/>
              </w:rPr>
            </w:pPr>
          </w:p>
        </w:tc>
      </w:tr>
      <w:tr>
        <w:trPr>
          <w:trHeight w:val="230"/>
        </w:trPr>
        <w:tc>
          <w:tcPr>
            <w:tcW w:w="1600" w:type="dxa"/>
            <w:vAlign w:val="bottom"/>
            <w:gridSpan w:val="3"/>
            <w:vMerge w:val="restart"/>
          </w:tcPr>
          <w:p>
            <w:pPr>
              <w:spacing w:after="0"/>
              <w:rPr>
                <w:sz w:val="20"/>
                <w:szCs w:val="20"/>
                <w:color w:val="auto"/>
              </w:rPr>
            </w:pPr>
            <w:r>
              <w:rPr>
                <w:rFonts w:ascii="Arial" w:cs="Arial" w:eastAsia="Arial" w:hAnsi="Arial"/>
                <w:sz w:val="18"/>
                <w:szCs w:val="18"/>
                <w:color w:val="auto"/>
                <w:w w:val="99"/>
              </w:rPr>
              <w:t>**Provided herewith</w:t>
            </w:r>
          </w:p>
        </w:tc>
        <w:tc>
          <w:tcPr>
            <w:tcW w:w="9820" w:type="dxa"/>
            <w:vAlign w:val="bottom"/>
            <w:gridSpan w:val="6"/>
          </w:tcPr>
          <w:p>
            <w:pPr>
              <w:spacing w:after="0"/>
              <w:rPr>
                <w:sz w:val="20"/>
                <w:szCs w:val="20"/>
                <w:color w:val="auto"/>
              </w:rPr>
            </w:pPr>
            <w:r>
              <w:rPr>
                <w:rFonts w:ascii="Arial" w:cs="Arial" w:eastAsia="Arial" w:hAnsi="Arial"/>
                <w:sz w:val="18"/>
                <w:szCs w:val="18"/>
                <w:color w:val="auto"/>
              </w:rPr>
              <w:t>Extensible Business Reporting Language (XBRL).</w:t>
            </w:r>
          </w:p>
        </w:tc>
        <w:tc>
          <w:tcPr>
            <w:tcW w:w="0" w:type="dxa"/>
            <w:vAlign w:val="bottom"/>
          </w:tcPr>
          <w:p>
            <w:pPr>
              <w:spacing w:after="0"/>
              <w:rPr>
                <w:sz w:val="1"/>
                <w:szCs w:val="1"/>
                <w:color w:val="auto"/>
              </w:rPr>
            </w:pPr>
          </w:p>
        </w:tc>
      </w:tr>
      <w:tr>
        <w:trPr>
          <w:trHeight w:val="216"/>
        </w:trPr>
        <w:tc>
          <w:tcPr>
            <w:tcW w:w="1600" w:type="dxa"/>
            <w:vAlign w:val="bottom"/>
            <w:gridSpan w:val="3"/>
            <w:vMerge w:val="continue"/>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gridSpan w:val="4"/>
          </w:tcPr>
          <w:p>
            <w:pPr>
              <w:ind w:left="406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60" w:type="dxa"/>
            <w:vAlign w:val="bottom"/>
          </w:tcPr>
          <w:p>
            <w:pPr>
              <w:spacing w:after="0"/>
              <w:rPr>
                <w:sz w:val="19"/>
                <w:szCs w:val="19"/>
                <w:color w:val="auto"/>
              </w:rPr>
            </w:pPr>
          </w:p>
        </w:tc>
        <w:tc>
          <w:tcPr>
            <w:tcW w:w="10760" w:type="dxa"/>
            <w:vAlign w:val="bottom"/>
            <w:gridSpan w:val="3"/>
          </w:tcPr>
          <w:p>
            <w:pPr>
              <w:ind w:left="2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10760" w:type="dxa"/>
            <w:vAlign w:val="bottom"/>
            <w:gridSpan w:val="3"/>
          </w:tcPr>
          <w:p>
            <w:pPr>
              <w:ind w:left="260"/>
              <w:spacing w:after="0"/>
              <w:rPr>
                <w:sz w:val="20"/>
                <w:szCs w:val="20"/>
                <w:color w:val="auto"/>
              </w:rPr>
            </w:pPr>
            <w:r>
              <w:rPr>
                <w:rFonts w:ascii="Arial" w:cs="Arial" w:eastAsia="Arial" w:hAnsi="Arial"/>
                <w:sz w:val="18"/>
                <w:szCs w:val="18"/>
                <w:color w:val="auto"/>
              </w:rPr>
              <w:t>May 15, 2013</w:t>
            </w:r>
          </w:p>
        </w:tc>
      </w:tr>
      <w:tr>
        <w:trPr>
          <w:trHeight w:val="190"/>
        </w:trPr>
        <w:tc>
          <w:tcPr>
            <w:tcW w:w="660" w:type="dxa"/>
            <w:vAlign w:val="bottom"/>
          </w:tcPr>
          <w:p>
            <w:pPr>
              <w:spacing w:after="0"/>
              <w:rPr>
                <w:sz w:val="16"/>
                <w:szCs w:val="16"/>
                <w:color w:val="auto"/>
              </w:rPr>
            </w:pPr>
          </w:p>
        </w:tc>
        <w:tc>
          <w:tcPr>
            <w:tcW w:w="10760" w:type="dxa"/>
            <w:vAlign w:val="bottom"/>
            <w:gridSpan w:val="3"/>
          </w:tcPr>
          <w:p>
            <w:pPr>
              <w:ind w:left="260"/>
              <w:spacing w:after="0" w:line="190" w:lineRule="exact"/>
              <w:rPr>
                <w:sz w:val="20"/>
                <w:szCs w:val="20"/>
                <w:color w:val="auto"/>
              </w:rPr>
            </w:pPr>
            <w:r>
              <w:rPr>
                <w:rFonts w:ascii="Arial" w:cs="Arial" w:eastAsia="Arial" w:hAnsi="Arial"/>
                <w:sz w:val="18"/>
                <w:szCs w:val="18"/>
                <w:color w:val="auto"/>
              </w:rPr>
              <w:t>By: s/ Shad Stastney</w:t>
            </w:r>
          </w:p>
        </w:tc>
      </w:tr>
      <w:tr>
        <w:trPr>
          <w:trHeight w:val="20"/>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r>
      <w:tr>
        <w:trPr>
          <w:trHeight w:val="218"/>
        </w:trPr>
        <w:tc>
          <w:tcPr>
            <w:tcW w:w="660" w:type="dxa"/>
            <w:vAlign w:val="bottom"/>
          </w:tcPr>
          <w:p>
            <w:pPr>
              <w:spacing w:after="0"/>
              <w:rPr>
                <w:sz w:val="18"/>
                <w:szCs w:val="18"/>
                <w:color w:val="auto"/>
              </w:rPr>
            </w:pPr>
          </w:p>
        </w:tc>
        <w:tc>
          <w:tcPr>
            <w:tcW w:w="10760" w:type="dxa"/>
            <w:vAlign w:val="bottom"/>
            <w:gridSpan w:val="3"/>
          </w:tcPr>
          <w:p>
            <w:pPr>
              <w:ind w:left="260"/>
              <w:spacing w:after="0"/>
              <w:rPr>
                <w:sz w:val="20"/>
                <w:szCs w:val="20"/>
                <w:color w:val="auto"/>
              </w:rPr>
            </w:pPr>
            <w:r>
              <w:rPr>
                <w:rFonts w:ascii="Arial" w:cs="Arial" w:eastAsia="Arial" w:hAnsi="Arial"/>
                <w:sz w:val="18"/>
                <w:szCs w:val="18"/>
                <w:color w:val="auto"/>
              </w:rPr>
              <w:t>Shad Stastney</w:t>
            </w:r>
          </w:p>
        </w:tc>
      </w:tr>
      <w:tr>
        <w:trPr>
          <w:trHeight w:val="234"/>
        </w:trPr>
        <w:tc>
          <w:tcPr>
            <w:tcW w:w="660" w:type="dxa"/>
            <w:vAlign w:val="bottom"/>
          </w:tcPr>
          <w:p>
            <w:pPr>
              <w:spacing w:after="0"/>
              <w:rPr>
                <w:sz w:val="20"/>
                <w:szCs w:val="20"/>
                <w:color w:val="auto"/>
              </w:rPr>
            </w:pPr>
          </w:p>
        </w:tc>
        <w:tc>
          <w:tcPr>
            <w:tcW w:w="10760" w:type="dxa"/>
            <w:vAlign w:val="bottom"/>
            <w:gridSpan w:val="3"/>
          </w:tcPr>
          <w:p>
            <w:pPr>
              <w:ind w:left="2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b w:val="1"/>
                <w:bCs w:val="1"/>
                <w:color w:val="auto"/>
              </w:rPr>
              <w:t>Chief Executive Officer, Principal Executive Officer, and Director</w:t>
            </w:r>
          </w:p>
        </w:tc>
      </w:tr>
      <w:tr>
        <w:trPr>
          <w:trHeight w:val="189"/>
        </w:trPr>
        <w:tc>
          <w:tcPr>
            <w:tcW w:w="6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9000" w:type="dxa"/>
            <w:vAlign w:val="bottom"/>
            <w:tcBorders>
              <w:bottom w:val="single" w:sz="8" w:color="auto"/>
            </w:tcBorders>
          </w:tcPr>
          <w:p>
            <w:pPr>
              <w:spacing w:after="0"/>
              <w:rPr>
                <w:sz w:val="16"/>
                <w:szCs w:val="16"/>
                <w:color w:val="auto"/>
              </w:rPr>
            </w:pPr>
          </w:p>
        </w:tc>
      </w:tr>
      <w:tr>
        <w:trPr>
          <w:trHeight w:val="224"/>
        </w:trPr>
        <w:tc>
          <w:tcPr>
            <w:tcW w:w="660" w:type="dxa"/>
            <w:vAlign w:val="bottom"/>
          </w:tcPr>
          <w:p>
            <w:pPr>
              <w:spacing w:after="0"/>
              <w:rPr>
                <w:sz w:val="19"/>
                <w:szCs w:val="19"/>
                <w:color w:val="auto"/>
              </w:rPr>
            </w:pPr>
          </w:p>
        </w:tc>
        <w:tc>
          <w:tcPr>
            <w:tcW w:w="10760" w:type="dxa"/>
            <w:vAlign w:val="bottom"/>
            <w:gridSpan w:val="3"/>
          </w:tcPr>
          <w:p>
            <w:pPr>
              <w:ind w:left="500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233" w:right="239" w:bottom="1440" w:gutter="0" w:footer="0" w:header="0"/>
        </w:sectPr>
      </w:pPr>
    </w:p>
    <w:bookmarkStart w:id="23" w:name="page24"/>
    <w:bookmarkEnd w:id="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Shad Stastney, certify that;</w:t>
      </w:r>
    </w:p>
    <w:p>
      <w:pPr>
        <w:spacing w:after="0" w:line="225"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2013 of OptimizeRx Corporation (the “registrant”);</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hanging="372"/>
        <w:spacing w:after="0" w:line="264"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180" w:hanging="482"/>
        <w:spacing w:after="0" w:line="264" w:lineRule="auto"/>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00" w:hanging="492"/>
        <w:spacing w:after="0" w:line="264" w:lineRule="auto"/>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60" w:hanging="482"/>
        <w:spacing w:after="0" w:line="342" w:lineRule="auto"/>
        <w:tabs>
          <w:tab w:leader="none" w:pos="1000" w:val="left"/>
        </w:tabs>
        <w:numPr>
          <w:ilvl w:val="1"/>
          <w:numId w:val="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180" w:hanging="492"/>
        <w:spacing w:after="0" w:line="264" w:lineRule="auto"/>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40" w:hanging="372"/>
        <w:spacing w:after="0" w:line="308" w:lineRule="auto"/>
        <w:tabs>
          <w:tab w:leader="none" w:pos="3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80" w:hanging="482"/>
        <w:spacing w:after="0" w:line="277" w:lineRule="auto"/>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40" w:hanging="492"/>
        <w:spacing w:after="0" w:line="277" w:lineRule="auto"/>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Shad Stastney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Shad Stastney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00"/>
          </w:cols>
          <w:pgMar w:left="240" w:top="121" w:right="2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 David Lester, certify that;</w:t>
      </w:r>
    </w:p>
    <w:p>
      <w:pPr>
        <w:spacing w:after="0" w:line="225"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2013 of OptimizeRx Corporation (the “registrant”);</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hanging="372"/>
        <w:spacing w:after="0" w:line="264"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180" w:hanging="482"/>
        <w:spacing w:after="0" w:line="264"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00" w:hanging="492"/>
        <w:spacing w:after="0" w:line="264"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60" w:hanging="482"/>
        <w:spacing w:after="0" w:line="342" w:lineRule="auto"/>
        <w:tabs>
          <w:tab w:leader="none" w:pos="1000"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180" w:hanging="492"/>
        <w:spacing w:after="0" w:line="264"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40" w:hanging="372"/>
        <w:spacing w:after="0" w:line="308"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80" w:hanging="482"/>
        <w:spacing w:after="0" w:line="277"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40" w:hanging="492"/>
        <w:spacing w:after="0" w:line="277"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H.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H. 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00"/>
          </w:cols>
          <w:pgMar w:left="240" w:top="121" w:right="2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OPTIMIZERx Corp (the “Company”) on Form 10-Q for the quarter ended March 31, 2013 filed with the Securities and Exchange Commission (the “Report”), I, Shad Stastney, Chief Executive Officer of the Company, and I, David Lester, Chief Financial Officer, certify, pursuant to 18 U.S.C. Section 1350, as adopted pursuant to Section 906 of the Sarbanes-Oxley Act of 2002, that:</w:t>
      </w:r>
    </w:p>
    <w:p>
      <w:pPr>
        <w:spacing w:after="0" w:line="181" w:lineRule="exact"/>
        <w:rPr>
          <w:sz w:val="20"/>
          <w:szCs w:val="20"/>
          <w:color w:val="auto"/>
        </w:rPr>
      </w:pPr>
    </w:p>
    <w:p>
      <w:pPr>
        <w:ind w:left="560" w:hanging="484"/>
        <w:spacing w:after="0"/>
        <w:tabs>
          <w:tab w:leader="none" w:pos="5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40" w:hanging="478"/>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70" w:lineRule="exact"/>
        <w:rPr>
          <w:sz w:val="20"/>
          <w:szCs w:val="20"/>
          <w:color w:val="auto"/>
        </w:rPr>
      </w:pPr>
    </w:p>
    <w:p>
      <w:pPr>
        <w:ind w:left="6860"/>
        <w:spacing w:after="0"/>
        <w:tabs>
          <w:tab w:leader="none" w:pos="7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Shad Stastney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Name:Shad Stastney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Principal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15, 2013</w:t>
      </w:r>
    </w:p>
    <w:p>
      <w:pPr>
        <w:spacing w:after="0" w:line="197" w:lineRule="exact"/>
        <w:rPr>
          <w:sz w:val="20"/>
          <w:szCs w:val="20"/>
          <w:color w:val="auto"/>
        </w:rPr>
      </w:pPr>
    </w:p>
    <w:p>
      <w:pPr>
        <w:ind w:left="6860"/>
        <w:spacing w:after="0"/>
        <w:tabs>
          <w:tab w:leader="none" w:pos="7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H. David Lester</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Name:H. David Lester</w:t>
      </w:r>
    </w:p>
    <w:p>
      <w:pPr>
        <w:spacing w:after="0" w:line="9"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of 2002.</w:t>
      </w:r>
      <w:r>
        <w:rPr>
          <w:sz w:val="20"/>
          <w:szCs w:val="20"/>
          <w:color w:val="auto"/>
        </w:rPr>
        <w:tab/>
      </w:r>
      <w:r>
        <w:rPr>
          <w:rFonts w:ascii="Arial" w:cs="Arial" w:eastAsia="Arial" w:hAnsi="Arial"/>
          <w:sz w:val="17"/>
          <w:szCs w:val="17"/>
          <w:color w:val="auto"/>
        </w:rPr>
        <w:t>Title: Principal Financial Officer and Director</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15, 2013</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
    </w:lvl>
    <w:lvl w:ilvl="1">
      <w:lvlJc w:val="left"/>
      <w:lvlText w:val="%2."/>
      <w:numFmt w:val="lowerLetter"/>
      <w:start w:val="1"/>
    </w:lvl>
  </w:abstractNum>
  <w:abstractNum w:abstractNumId="2">
    <w:nsid w:val="625558EC"/>
    <w:multiLevelType w:val="hybridMultilevel"/>
    <w:lvl w:ilvl="0">
      <w:lvlJc w:val="left"/>
      <w:lvlText w:val="%1."/>
      <w:numFmt w:val="decimal"/>
      <w:start w:val="1"/>
    </w:lvl>
    <w:lvl w:ilvl="1">
      <w:lvlJc w:val="left"/>
      <w:lvlText w:val="%2."/>
      <w:numFmt w:val="lowerLetter"/>
      <w:start w:val="1"/>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2019-12-07T19:51:35Z</dcterms:created>
  <dcterms:modified xsi:type="dcterms:W3CDTF">2019-12-07T19:51:35Z</dcterms:modified>
</cp:coreProperties>
</file>