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D'Silva Andrew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40"/>
        <w:spacing w:after="0" w:line="320" w:lineRule="auto"/>
        <w:rPr>
          <w:sz w:val="20"/>
          <w:szCs w:val="20"/>
          <w:color w:val="auto"/>
        </w:rPr>
      </w:pPr>
      <w:r>
        <w:rPr>
          <w:rFonts w:ascii="Times New Roman" w:cs="Times New Roman" w:eastAsia="Times New Roman" w:hAnsi="Times New Roman"/>
          <w:sz w:val="17"/>
          <w:szCs w:val="17"/>
          <w:color w:val="0000FF"/>
        </w:rPr>
        <w:t>C/O OPTIMIZERX CORPORATION 260 CHARLES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85"/>
        <w:spacing w:after="0"/>
        <w:rPr>
          <w:sz w:val="20"/>
          <w:szCs w:val="20"/>
          <w:color w:val="auto"/>
        </w:rPr>
      </w:pPr>
      <w:r>
        <w:rPr>
          <w:rFonts w:ascii="Times New Roman" w:cs="Times New Roman" w:eastAsia="Times New Roman" w:hAnsi="Times New Roman"/>
          <w:sz w:val="17"/>
          <w:szCs w:val="17"/>
          <w:color w:val="0000FF"/>
        </w:rPr>
        <w:t>Chief Business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jc w:val="right"/>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0"/>
                <w:szCs w:val="10"/>
                <w:color w:val="auto"/>
              </w:rPr>
            </w:pPr>
          </w:p>
        </w:tc>
        <w:tc>
          <w:tcPr>
            <w:tcW w:w="3560" w:type="dxa"/>
            <w:vAlign w:val="bottom"/>
            <w:gridSpan w:val="9"/>
          </w:tcPr>
          <w:p>
            <w:pPr>
              <w:ind w:left="2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02453</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12/11/2025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vertAlign w:val="subscript"/>
              </w:rPr>
              <w:t>868</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14.03</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45,438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upon the vesting of restricted stock units to satisfy the Reporting Person's tax withholding obligations. Such withholding is treated as a disposition of securities under Section 16 of the Securities Exchange Act of 1934, as amended.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540"/>
        <w:spacing w:after="0" w:line="272"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12/15/2025</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6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6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83717"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2025-12-15T18:45:18Z</dcterms:created>
  <dcterms:modified xsi:type="dcterms:W3CDTF">2025-12-15T18:45:18Z</dcterms:modified>
</cp:coreProperties>
</file>