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26, 2019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Nevada</w:t>
            </w:r>
          </w:p>
        </w:tc>
        <w:tc>
          <w:tcPr>
            <w:tcW w:w="302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000-53605</w:t>
            </w:r>
          </w:p>
        </w:tc>
        <w:tc>
          <w:tcPr>
            <w:tcW w:w="2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6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45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1445895</wp:posOffset>
            </wp:positionH>
            <wp:positionV relativeFrom="paragraph">
              <wp:posOffset>292100</wp:posOffset>
            </wp:positionV>
            <wp:extent cx="577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151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26, 2019, we issued a press release announcing the results of operations for the quarter ended December 31, 2018. The press release is furnished with this Current Report on Form 8-K as Exhibit 99.1.</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February 26, 2019</w:t>
        </w:r>
      </w:hyperlink>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35150"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51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OptimizeRx Reports Fourth Quarter 2018 Results; Net Revenue Up 64% to a Record $6.6 Million, Driving First Profitable Year</w:t>
      </w:r>
    </w:p>
    <w:p>
      <w:pPr>
        <w:spacing w:after="0" w:line="225"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ROCHESTER, Mich., (February 26, 2019) — </w:t>
      </w:r>
      <w:r>
        <w:rPr>
          <w:rFonts w:ascii="Times New Roman" w:cs="Times New Roman" w:eastAsia="Times New Roman" w:hAnsi="Times New Roman"/>
          <w:sz w:val="17"/>
          <w:szCs w:val="17"/>
          <w:color w:val="auto"/>
        </w:rPr>
        <w:t>OptimizeRx Corp. (NASDAQ: OPRX), a leading provider of digital health messaging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pharmaceutical industry, reported results for the fourth quarter and year ended December 31, 2018. Quarterly comparisons are to the same year-ago quarter.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2018 and Full Year 2018 Financial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64% to a record $6.6 million in Q4, and up 75% to a record $21.2 million for the full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 as a percentage of net revenue reduced from 69% to 64% in Q4, and from 67% to 57% for the full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$110,000 or $(0.01) per basic share in Q4, and net income of $226,000 or $0.02 per diluted share in 2018.</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was $842,000 or $0.06 per diluted share in Q4, and $3.1 million or $0.26 per diluted share for the full year (see definition of these non-GAAP measures and reconciliation to GAAP,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2018 Operational Highlights</w:t>
      </w:r>
    </w:p>
    <w:p>
      <w:pPr>
        <w:spacing w:after="0" w:line="229" w:lineRule="exact"/>
        <w:rPr>
          <w:sz w:val="20"/>
          <w:szCs w:val="20"/>
          <w:color w:val="auto"/>
        </w:rPr>
      </w:pPr>
    </w:p>
    <w:p>
      <w:pPr>
        <w:ind w:left="660" w:right="1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CareSpeak Communications, enabling OptimizeRx to deliver digital health messaging directly to patients for the first time, thereby better supporting medication affordability and adherence, and bridging the communication gap between pharma and patients.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pilot of new clinical messaging platform with an established channel partner.</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new pharmaceutical manufacturers for distributing digital health messaging through OptimizeRx’s expanding network of EHR channel partners.</w:t>
      </w:r>
    </w:p>
    <w:p>
      <w:pPr>
        <w:spacing w:after="0" w:line="165" w:lineRule="exact"/>
        <w:rPr>
          <w:rFonts w:ascii="Times New Roman" w:cs="Times New Roman" w:eastAsia="Times New Roman" w:hAnsi="Times New Roman"/>
          <w:sz w:val="18"/>
          <w:szCs w:val="18"/>
          <w:color w:val="auto"/>
        </w:rPr>
      </w:pPr>
    </w:p>
    <w:p>
      <w:pPr>
        <w:ind w:left="660" w:right="240" w:hanging="328"/>
        <w:spacing w:after="0" w:line="199" w:lineRule="auto"/>
        <w:tabs>
          <w:tab w:leader="none" w:pos="660" w:val="left"/>
        </w:tabs>
        <w:numPr>
          <w:ilvl w:val="0"/>
          <w:numId w:val="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OptimizeRx President Miriam Paramore co-hosted a plenary session, “Addressing Medication Adherence to Improve Quality of Care,” at the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Annual Digital Pharma East conference in Philadelphia.</w:t>
      </w:r>
    </w:p>
    <w:p>
      <w:pPr>
        <w:spacing w:after="0" w:line="198" w:lineRule="exact"/>
        <w:rPr>
          <w:rFonts w:ascii="Times New Roman" w:cs="Times New Roman" w:eastAsia="Times New Roman" w:hAnsi="Times New Roman"/>
          <w:sz w:val="34"/>
          <w:szCs w:val="34"/>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Joined MSCI USA Microcap 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2018 Financial Summary</w:t>
      </w:r>
    </w:p>
    <w:p>
      <w:pPr>
        <w:spacing w:after="0" w:line="229"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Net revenue in the fourth quarter of 2018 increased 64% to a record $6.6 million versus $4.0 million in the same year-ago quarter. The increase resulted from an increased number of pharmaceutical engagements, additional distribution points in the company’s network, and growth with new messaging solutions.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Gross margin was 62.2% in the fourth quarter of 2018 down from 63.0% in the year-ago quarter. The company anticipates this to decline slightly in 2019. The company remains focused on improving margins and maintains its gross margin target of at least 55% for 2019.</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expenses in the fourth quarter of 2018 were $4.2 million, up from $2.8 million in the same year-ago quarter. The increase is primarily related to the company’s acquisition of CareSpeak Communications in October 2018 and additional expenses related to its growth initiatives. However, operating expense as a percentage of revenue decreased to 64% as compared to 69% in the same year-ago quarter.</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loss on a GAAP basis for the fourth quarter of 2018 was $110,000 or $(0.01) per basic share, as compared to a net loss of $237,000 or $(0.02) per basic share in the year-ago quarter.</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Non-GAAP net income for the fourth quarter of 2018 was $842,000 or $0.06 per diluted share, as compared to non-GAAP net income of $280,000 or $0.03 per diluted share in the same year-ago period.</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expects to be GAAP profitable on a quarterly basis. Although one-time expenses related to investments and growth initiatives could result in a loss in any given quarter, such as the company’s acquisition of CareSpeak in Q4 2018.</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Cash and cash equivalents totaled $8.9 million at December 31, 2018, as compared to $5.1 million at December 31, 2017. The increase in cash was primarily due to the net proceeds of $8.1 million from the equity raise completed in May 2018. The company has continued to operate debt-free and had positive cash flow from operations of $696,000 in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2018 Financial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in 2018 increased 75% to a record $21.2 million versus $12.1 million in 2017.</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increased to $12.0 million in 2018 as compared to $8.1 million in 2017. The increase was primarily due to the aforementioned acquisition and growth initiatives. However, operating expense as a percentage of revenue decreased to 57% as compared to 67% in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on a GAAP basis totaled $226,000 or $0.02 per diluted share in 2018, as compared to a net loss of $2.1 million or $(0.21) per basic share in 2017.</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full year, non-GAAP net income totaled $3.1 million or $0.26 per diluted share, which compares non-GAAP net loss of $877,000 or $(0.09) per basic share in the year-ago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Q4, we realized our seventh quarter in a row of revenue growth and our first year of profitability,” said OptimizeRx CEO, William Febbo. “These record results were driven by better client access, broader provider reach, solid technology and operational performance. Given how early we are in our company’s evolution, we anticipate continued investment in our commercial reach, product extensions, channel partners and best-in-class team.</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 w:name="page6"/>
    <w:bookmarkEnd w:id="5"/>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our recent acquisition of CareSpeak Communications, we now have a highly-cost efficient and capable tech team to develop additional applications, facilitate integrations, and support cross platform development. They helped complete our integration of CareSpeak, and we expect revenues from direct-to-patient digital health messaging to grow nicely in 2019. We also expect this service to improve medication affordability and adherence by closing the communication gap between pharma and patients.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“Today, our network reaches over half the nation’s healthcare providers and the ambulatory market, making OptimizeRx the healthcare industry’s largest point-of-care network. Through our digital platform, pharma companies can regain critical access to doctors and their patients and provide the information and savings they need, and precisely when they need it, at the point of care. This helps create better health outcomes and a win-win-win for all.”</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OptimizeRx president, Miriam Paramore, commented: “We have been very focused on our expansion into the hospital market where we see great potential. We recently joined forces with IllumiCare, a pioneer in point-of-care healthcare information technology that saves hospitals millions annually. IllumiCare’s Smart Ribbon platform will feature a new app from OptimizeRx, the RxSavings App, designed to present drug savings opportunities—such as co-pay offers and vouchers—that providers and the clinical care team can distribute to the patient directly at the point-of-care. The RxSavings App is set to launch in Q2 2019, making it available to 120 IllumiCare-served hospitals in the U.S.”</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Febbo added: “For 2019, we’ll remain focused on generating revenue from our core messaging solutions and expanding our channel partner network, which now includes reach into the hospital market. Following our participation at the recent HIMSS health IT conference, we are encouraged by the several big players involved in ambulatory and hospital systems who expressed strong interest in working with us.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we continue to demonstrate high ROI from pharma marketing spend and deploy new solutions, we expect increasing adoption of our digital health platform by EHRs, hospital systems, and ultimately new and existing pharma clients. As a result, we anticipate healthy revenue growth to continue in 2019, driving greater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Tuesday, February 26,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dial-in number: 1-888-394-8218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1-323-794-2588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7188619</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3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6" w:name="page7"/>
    <w:bookmarkEnd w:id="6"/>
    <w:p>
      <w:pPr>
        <w:ind w:right="280"/>
        <w:spacing w:after="0" w:line="282" w:lineRule="auto"/>
        <w:rPr>
          <w:sz w:val="20"/>
          <w:szCs w:val="20"/>
          <w:color w:val="auto"/>
        </w:rPr>
      </w:pPr>
      <w:r>
        <w:rPr>
          <w:rFonts w:ascii="Times New Roman" w:cs="Times New Roman" w:eastAsia="Times New Roman" w:hAnsi="Times New Roman"/>
          <w:sz w:val="18"/>
          <w:szCs w:val="18"/>
          <w:color w:val="auto"/>
        </w:rPr>
        <w:t>A replay of the call will be available after 7:30 p.m. Eastern time on the same day through March 19, 2019, as well as available for replay via the Investors section of the OptimizeRx website at www.optimizerx.com.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replay number: 1-844-512-2921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ID: 7188619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income (loss) and non-GAAP earnings per share or non-GAAP EPS, both of which are non-GAAP financial measures. The company defines non-GAAP net income (loss) as GAAP net income (loss) with an adjustment to add back depreciation, amortization and stock-based compensation expense. Non-GAAP EPS is defined as non-GAAP net income (loss) divided by the number of weighted average shares outstanding on a basic and diluted basis. We have provided non-GAAP financial measures to aid investors in better understanding our performance. Management believes that these non-GAAP financial measures provide additional insight into the operations and cashflow of the Company.</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providing an important tool for financial and operational decision making and for evaluating the company’s own core business operating results over different periods of time.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consider these non-GAAP measures to be substitutes for or superior to the information provided by its GAAP financial results.</w:t>
      </w:r>
    </w:p>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“Reconciliation of non-GAAP to GAAP Financial Measures,” included at the end of this press release provides a reconciliation of non-GAAP net income (loss) and non-GAAP EPS for the three and 12-month periods ended December 31, 2017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spacing w:after="0" w:line="252" w:lineRule="auto"/>
        <w:rPr>
          <w:sz w:val="20"/>
          <w:szCs w:val="20"/>
          <w:color w:val="auto"/>
        </w:rPr>
      </w:pPr>
      <w:r>
        <w:rPr>
          <w:rFonts w:ascii="Times New Roman" w:cs="Times New Roman" w:eastAsia="Times New Roman" w:hAnsi="Times New Roman"/>
          <w:sz w:val="18"/>
          <w:szCs w:val="18"/>
          <w:color w:val="auto"/>
        </w:rPr>
        <w:t>industry, OptimizeRx provides a direct channel for pharma companies to communicate with healthcare providers right within their workflow. 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The company’s mobile messaging platform, formerly CareSpeak Communications, also supports direct, real-time communication to patients for improved medication adherence, affordability, and healthcare outcomes. For more information, follow the company on Twitter, LinkedIn or visit www.optimizerx.com.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OPTIMIZERx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8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74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8,914,034</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5,122,573</w:t>
            </w:r>
          </w:p>
        </w:tc>
        <w:tc>
          <w:tcPr>
            <w:tcW w:w="0" w:type="dxa"/>
            <w:vAlign w:val="bottom"/>
          </w:tcPr>
          <w:p>
            <w:pPr>
              <w:spacing w:after="0"/>
              <w:rPr>
                <w:sz w:val="1"/>
                <w:szCs w:val="1"/>
                <w:color w:val="auto"/>
              </w:rPr>
            </w:pPr>
          </w:p>
        </w:tc>
      </w:t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6,457,841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3,430,890</w:t>
            </w:r>
          </w:p>
        </w:tc>
        <w:tc>
          <w:tcPr>
            <w:tcW w:w="0" w:type="dxa"/>
            <w:vAlign w:val="bottom"/>
          </w:tcPr>
          <w:p>
            <w:pPr>
              <w:spacing w:after="0"/>
              <w:rPr>
                <w:sz w:val="1"/>
                <w:szCs w:val="1"/>
                <w:color w:val="auto"/>
              </w:rPr>
            </w:pPr>
          </w:p>
        </w:tc>
      </w:tr>
      <w:tr>
        <w:trPr>
          <w:trHeight w:val="250"/>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590,744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255,428</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15,962,619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8,808,891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7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3,678,513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2,766,944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638,766</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2,492,123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143,730</w:t>
            </w:r>
          </w:p>
        </w:tc>
        <w:tc>
          <w:tcPr>
            <w:tcW w:w="0" w:type="dxa"/>
            <w:vAlign w:val="bottom"/>
          </w:tcPr>
          <w:p>
            <w:pPr>
              <w:spacing w:after="0"/>
              <w:rPr>
                <w:sz w:val="1"/>
                <w:szCs w:val="1"/>
                <w:color w:val="auto"/>
              </w:rPr>
            </w:pPr>
          </w:p>
        </w:tc>
      </w:tr>
      <w:tr>
        <w:trPr>
          <w:trHeight w:val="237"/>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r>
        <w:trPr>
          <w:trHeight w:val="236"/>
        </w:trPr>
        <w:tc>
          <w:tcPr>
            <w:tcW w:w="8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8,942,629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25,054,578</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9,763,741</w:t>
            </w:r>
          </w:p>
        </w:tc>
        <w:tc>
          <w:tcPr>
            <w:tcW w:w="0" w:type="dxa"/>
            <w:vAlign w:val="bottom"/>
          </w:tcPr>
          <w:p>
            <w:pPr>
              <w:spacing w:after="0"/>
              <w:rPr>
                <w:sz w:val="1"/>
                <w:szCs w:val="1"/>
                <w:color w:val="auto"/>
              </w:rPr>
            </w:pPr>
          </w:p>
        </w:tc>
      </w:tr>
      <w:tr>
        <w:trPr>
          <w:trHeight w:val="216"/>
        </w:trPr>
        <w:tc>
          <w:tcPr>
            <w:tcW w:w="8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411,010</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457,289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1,300,882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953,947</w:t>
            </w:r>
          </w:p>
        </w:tc>
        <w:tc>
          <w:tcPr>
            <w:tcW w:w="0" w:type="dxa"/>
            <w:vAlign w:val="bottom"/>
          </w:tcPr>
          <w:p>
            <w:pPr>
              <w:spacing w:after="0"/>
              <w:rPr>
                <w:sz w:val="1"/>
                <w:szCs w:val="1"/>
                <w:color w:val="auto"/>
              </w:rPr>
            </w:pPr>
          </w:p>
        </w:tc>
      </w:t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1,908,616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1,624,806</w:t>
            </w:r>
          </w:p>
        </w:tc>
        <w:tc>
          <w:tcPr>
            <w:tcW w:w="0" w:type="dxa"/>
            <w:vAlign w:val="bottom"/>
          </w:tcPr>
          <w:p>
            <w:pPr>
              <w:spacing w:after="0"/>
              <w:rPr>
                <w:sz w:val="1"/>
                <w:szCs w:val="1"/>
                <w:color w:val="auto"/>
              </w:rPr>
            </w:pPr>
          </w:p>
        </w:tc>
      </w:tr>
      <w:tr>
        <w:trPr>
          <w:trHeight w:val="250"/>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610,625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507,160</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4,231,133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3,543,202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purchase price payable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2,365,000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6,596,133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7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issued and outstanding at December 31, 2018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12,038,618 and 9,772,694 shares issued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2018 and 2017, respectively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9,773</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warrants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1,286,424</w:t>
            </w:r>
          </w:p>
        </w:tc>
        <w:tc>
          <w:tcPr>
            <w:tcW w:w="0" w:type="dxa"/>
            <w:vAlign w:val="bottom"/>
          </w:tcPr>
          <w:p>
            <w:pPr>
              <w:spacing w:after="0"/>
              <w:rPr>
                <w:sz w:val="1"/>
                <w:szCs w:val="1"/>
                <w:color w:val="auto"/>
              </w:rPr>
            </w:pPr>
          </w:p>
        </w:tc>
      </w:tr>
      <w:tr>
        <w:trPr>
          <w:trHeight w:val="216"/>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48,725,211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35,287,464</w:t>
            </w:r>
          </w:p>
        </w:tc>
        <w:tc>
          <w:tcPr>
            <w:tcW w:w="0" w:type="dxa"/>
            <w:vAlign w:val="bottom"/>
          </w:tcPr>
          <w:p>
            <w:pPr>
              <w:spacing w:after="0"/>
              <w:rPr>
                <w:sz w:val="1"/>
                <w:szCs w:val="1"/>
                <w:color w:val="auto"/>
              </w:rPr>
            </w:pPr>
          </w:p>
        </w:tc>
      </w:tr>
      <w:tr>
        <w:trPr>
          <w:trHeight w:val="250"/>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(30,278,805)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(30,363,122)</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18,458,445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6,220,539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25,054,578</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9,763,741</w:t>
            </w:r>
          </w:p>
        </w:tc>
        <w:tc>
          <w:tcPr>
            <w:tcW w:w="0" w:type="dxa"/>
            <w:vAlign w:val="bottom"/>
          </w:tcPr>
          <w:p>
            <w:pPr>
              <w:spacing w:after="0"/>
              <w:rPr>
                <w:sz w:val="1"/>
                <w:szCs w:val="1"/>
                <w:color w:val="auto"/>
              </w:rPr>
            </w:pPr>
          </w:p>
        </w:tc>
      </w:tr>
      <w:tr>
        <w:trPr>
          <w:trHeight w:val="21"/>
        </w:trPr>
        <w:tc>
          <w:tcPr>
            <w:tcW w:w="8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For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For 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year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For the</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quarter ended</w:t>
            </w:r>
          </w:p>
        </w:tc>
        <w:tc>
          <w:tcPr>
            <w:tcW w:w="2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quarter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year ended</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December 31,</w:t>
            </w:r>
          </w:p>
        </w:tc>
        <w:tc>
          <w:tcPr>
            <w:tcW w:w="120" w:type="dxa"/>
            <w:vAlign w:val="bottom"/>
          </w:tcPr>
          <w:p>
            <w:pPr>
              <w:spacing w:after="0"/>
              <w:rPr>
                <w:sz w:val="18"/>
                <w:szCs w:val="18"/>
                <w:color w:val="auto"/>
              </w:rPr>
            </w:pPr>
          </w:p>
        </w:tc>
        <w:tc>
          <w:tcPr>
            <w:tcW w:w="10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21,206,363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12,127,422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6,579,268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4,006,919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Revenue share expense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8,999,666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6,174,614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2,485,855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1,483,671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12,206,697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5,952,808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4,093,413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2,523,248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2,520,852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902,389</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798,866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316,502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324,551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153,085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9,189,211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6,855,834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3,266,909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2,245,544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12,026,565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8,082,774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4,218,860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2,762,554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180,132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(2,129,966</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(125,447</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(239,306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25,937</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226,344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(2,104,029)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(109,914)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(237,060)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226,344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(2,104,029</w:t>
            </w:r>
          </w:p>
        </w:tc>
        <w:tc>
          <w:tcPr>
            <w:tcW w:w="2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(109,914</w:t>
            </w:r>
          </w:p>
        </w:tc>
        <w:tc>
          <w:tcPr>
            <w:tcW w:w="220" w:type="dxa"/>
            <w:vAlign w:val="bottom"/>
            <w:vMerge w:val="continue"/>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(237,060</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9,819,753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12,013,771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9,761,675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tcBorders>
              <w:bottom w:val="single" w:sz="8" w:color="CCEEFF"/>
            </w:tcBorders>
            <w:vMerge w:val="continue"/>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11,862,991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9,819,753</w:t>
            </w:r>
          </w:p>
        </w:tc>
        <w:tc>
          <w:tcPr>
            <w:tcW w:w="2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12,013,771</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9,761,675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line="256" w:lineRule="exact"/>
              <w:rPr>
                <w:sz w:val="20"/>
                <w:szCs w:val="20"/>
                <w:color w:val="auto"/>
              </w:rPr>
            </w:pPr>
            <w:r>
              <w:rPr>
                <w:rFonts w:ascii="Times New Roman" w:cs="Times New Roman" w:eastAsia="Times New Roman" w:hAnsi="Times New Roman"/>
                <w:sz w:val="16"/>
                <w:szCs w:val="16"/>
                <w:color w:val="auto"/>
              </w:rPr>
              <w:t>(0.21</w:t>
            </w:r>
            <w:r>
              <w:rPr>
                <w:rFonts w:ascii="Times New Roman" w:cs="Times New Roman" w:eastAsia="Times New Roman" w:hAnsi="Times New Roman"/>
                <w:sz w:val="29"/>
                <w:szCs w:val="29"/>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(0.01</w:t>
            </w:r>
            <w:r>
              <w:rPr>
                <w:rFonts w:ascii="Times New Roman" w:cs="Times New Roman" w:eastAsia="Times New Roman" w:hAnsi="Times New Roman"/>
                <w:sz w:val="29"/>
                <w:szCs w:val="29"/>
                <w:color w:val="auto"/>
                <w:vertAlign w:val="superscript"/>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(0.02</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 GAAP net income (loss)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 (loss) per share</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7"/>
          <w:szCs w:val="17"/>
          <w:b w:val="1"/>
          <w:bCs w:val="1"/>
          <w:color w:val="auto"/>
        </w:rPr>
        <w:t>Reconciliation of non-GAAP to GAAP Financial Measures</w:t>
      </w:r>
    </w:p>
    <w:p>
      <w:pPr>
        <w:spacing w:after="0" w:line="218" w:lineRule="exact"/>
        <w:rPr>
          <w:sz w:val="20"/>
          <w:szCs w:val="20"/>
          <w:color w:val="auto"/>
        </w:rPr>
      </w:pPr>
    </w:p>
    <w:tbl>
      <w:tblPr>
        <w:tblLayout w:type="fixed"/>
        <w:tblInd w:w="26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For the Three Months</w:t>
            </w:r>
          </w:p>
        </w:tc>
        <w:tc>
          <w:tcPr>
            <w:tcW w:w="240" w:type="dxa"/>
            <w:vAlign w:val="bottom"/>
          </w:tcPr>
          <w:p>
            <w:pPr>
              <w:spacing w:after="0"/>
              <w:rPr>
                <w:sz w:val="18"/>
                <w:szCs w:val="18"/>
                <w:color w:val="auto"/>
              </w:rPr>
            </w:pPr>
          </w:p>
        </w:tc>
        <w:tc>
          <w:tcPr>
            <w:tcW w:w="14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auto"/>
                <w:w w:val="98"/>
              </w:rPr>
              <w:t>For the Year</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Ended December 31,</w:t>
            </w:r>
          </w:p>
        </w:tc>
        <w:tc>
          <w:tcPr>
            <w:tcW w:w="240" w:type="dxa"/>
            <w:vAlign w:val="bottom"/>
          </w:tcPr>
          <w:p>
            <w:pPr>
              <w:spacing w:after="0"/>
              <w:rPr>
                <w:sz w:val="20"/>
                <w:szCs w:val="20"/>
                <w:color w:val="auto"/>
              </w:rPr>
            </w:pPr>
          </w:p>
        </w:tc>
        <w:tc>
          <w:tcPr>
            <w:tcW w:w="232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color w:val="auto"/>
                <w:w w:val="99"/>
              </w:rPr>
              <w:t>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(109,914)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(237,060)</w:t>
            </w:r>
          </w:p>
        </w:tc>
        <w:tc>
          <w:tcPr>
            <w:tcW w:w="20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226,344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2"/>
              </w:rPr>
              <w:t>(2,104,029)</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111,653</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316,502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324,551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405,357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2,520,852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902,389</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842,037</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279,950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3,063,698</w:t>
            </w: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(877,089</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-642620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-359410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-25400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05" w:lineRule="exact"/>
        <w:rPr>
          <w:sz w:val="20"/>
          <w:szCs w:val="20"/>
          <w:color w:val="auto"/>
        </w:rPr>
      </w:pPr>
    </w:p>
    <w:p>
      <w:pPr>
        <w:sectPr>
          <w:pgSz w:w="11900" w:h="16838" w:orient="portrait"/>
          <w:cols w:equalWidth="0" w:num="2">
            <w:col w:w="2860" w:space="600"/>
            <w:col w:w="7960"/>
          </w:cols>
          <w:pgMar w:left="240" w:top="900" w:right="239" w:bottom="1440" w:gutter="0" w:footer="0" w:header="0"/>
        </w:sectPr>
      </w:pPr>
    </w:p>
    <w:tbl>
      <w:tblPr>
        <w:tblLayout w:type="fixed"/>
        <w:tblInd w:w="0" w:type="dxa"/>
        <w:tblCellMar>
          <w:top w:w="0" w:type="dxa"/>
          <w:left w:w="0" w:type="dxa"/>
          <w:bottom w:w="0" w:type="dxa"/>
          <w:right w:w="0" w:type="dxa"/>
        </w:tblCellMar>
      </w:tblPr>
      <w:tr>
        <w:trPr>
          <w:trHeight w:val="291"/>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7"/>
                <w:szCs w:val="17"/>
                <w:color w:val="auto"/>
              </w:rPr>
              <w:t>(0.09</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1"/>
        </w:trPr>
        <w:tc>
          <w:tcPr>
            <w:tcW w:w="44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vMerge w:val="continue"/>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12,013,771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9,761,675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10,832,209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9,819,753</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13,217,534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10,213,851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9,819,753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Brooks, Innsena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 800-2344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nicolebrooks@innsena.com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0" w:lineRule="exact"/>
        <w:rPr>
          <w:sz w:val="20"/>
          <w:szCs w:val="20"/>
          <w:color w:val="auto"/>
        </w:rPr>
      </w:pPr>
    </w:p>
    <w:p>
      <w:pPr>
        <w:spacing w:after="0" w:line="22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2019-12-28T15:55:12Z</dcterms:created>
  <dcterms:modified xsi:type="dcterms:W3CDTF">2019-12-28T15:55:12Z</dcterms:modified>
</cp:coreProperties>
</file>