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0" w:right="2360" w:hanging="1629"/>
        <w:spacing w:after="0" w:line="482" w:lineRule="auto"/>
        <w:tabs>
          <w:tab w:leader="none" w:pos="266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2018</w:t>
      </w:r>
    </w:p>
    <w:p>
      <w:pPr>
        <w:spacing w:after="0" w:line="32" w:lineRule="exact"/>
        <w:rPr>
          <w:rFonts w:ascii="MS PGothic" w:cs="MS PGothic" w:eastAsia="MS PGothic" w:hAnsi="MS PGothic"/>
          <w:sz w:val="18"/>
          <w:szCs w:val="18"/>
          <w:color w:val="auto"/>
        </w:rPr>
      </w:pPr>
    </w:p>
    <w:p>
      <w:pPr>
        <w:ind w:left="2960" w:hanging="339"/>
        <w:spacing w:after="0"/>
        <w:tabs>
          <w:tab w:leader="none" w:pos="29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13 or 15(d) of the Securities Exchange Act of 1934</w:t>
      </w:r>
    </w:p>
    <w:p>
      <w:pPr>
        <w:spacing w:after="0" w:line="225"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000-53605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ind w:left="2520"/>
              <w:spacing w:after="0"/>
              <w:rPr>
                <w:sz w:val="20"/>
                <w:szCs w:val="20"/>
                <w:color w:val="auto"/>
              </w:rPr>
            </w:pPr>
            <w:r>
              <w:rPr>
                <w:rFonts w:ascii="Arial" w:cs="Arial" w:eastAsia="Arial" w:hAnsi="Arial"/>
                <w:sz w:val="18"/>
                <w:szCs w:val="18"/>
                <w:b w:val="1"/>
                <w:bCs w:val="1"/>
                <w:color w:val="auto"/>
              </w:rPr>
              <w:t>Nevada</w:t>
            </w:r>
          </w:p>
        </w:tc>
        <w:tc>
          <w:tcPr>
            <w:tcW w:w="7340" w:type="dxa"/>
            <w:vAlign w:val="bottom"/>
            <w:gridSpan w:val="7"/>
          </w:tcPr>
          <w:p>
            <w:pPr>
              <w:jc w:val="right"/>
              <w:ind w:right="227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4080" w:type="dxa"/>
            <w:vAlign w:val="bottom"/>
            <w:tcBorders>
              <w:top w:val="single" w:sz="8" w:color="auto"/>
            </w:tcBorders>
          </w:tcPr>
          <w:p>
            <w:pPr>
              <w:ind w:left="1740"/>
              <w:spacing w:after="0" w:line="201" w:lineRule="exact"/>
              <w:rPr>
                <w:sz w:val="20"/>
                <w:szCs w:val="20"/>
                <w:color w:val="auto"/>
              </w:rPr>
            </w:pPr>
            <w:r>
              <w:rPr>
                <w:rFonts w:ascii="Arial" w:cs="Arial" w:eastAsia="Arial" w:hAnsi="Arial"/>
                <w:sz w:val="18"/>
                <w:szCs w:val="18"/>
                <w:color w:val="auto"/>
              </w:rPr>
              <w:t>(State or other jurisdiction of</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ind w:left="154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080" w:type="dxa"/>
            <w:vAlign w:val="bottom"/>
          </w:tcPr>
          <w:p>
            <w:pPr>
              <w:ind w:left="1720"/>
              <w:spacing w:after="0"/>
              <w:rPr>
                <w:sz w:val="20"/>
                <w:szCs w:val="20"/>
                <w:color w:val="auto"/>
              </w:rPr>
            </w:pPr>
            <w:r>
              <w:rPr>
                <w:rFonts w:ascii="Arial" w:cs="Arial" w:eastAsia="Arial" w:hAnsi="Arial"/>
                <w:sz w:val="18"/>
                <w:szCs w:val="18"/>
                <w:color w:val="auto"/>
                <w:w w:val="99"/>
              </w:rPr>
              <w:t>incorporation or organization)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80" w:type="dxa"/>
            <w:vAlign w:val="bottom"/>
          </w:tcPr>
          <w:p>
            <w:pPr>
              <w:spacing w:after="0"/>
              <w:rPr>
                <w:sz w:val="24"/>
                <w:szCs w:val="24"/>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b w:val="1"/>
                <w:bCs w:val="1"/>
                <w:color w:val="auto"/>
                <w:w w:val="91"/>
              </w:rPr>
              <w:t>400 Water Street, Suite 200</w:t>
            </w:r>
          </w:p>
        </w:tc>
      </w:tr>
      <w:tr>
        <w:trPr>
          <w:trHeight w:val="194"/>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20" w:type="dxa"/>
            <w:vAlign w:val="bottom"/>
            <w:gridSpan w:val="6"/>
          </w:tcPr>
          <w:p>
            <w:pPr>
              <w:jc w:val="center"/>
              <w:ind w:right="4810"/>
              <w:spacing w:after="0" w:line="194" w:lineRule="exact"/>
              <w:rPr>
                <w:sz w:val="20"/>
                <w:szCs w:val="20"/>
                <w:color w:val="auto"/>
              </w:rPr>
            </w:pPr>
            <w:r>
              <w:rPr>
                <w:rFonts w:ascii="Arial" w:cs="Arial" w:eastAsia="Arial" w:hAnsi="Arial"/>
                <w:sz w:val="18"/>
                <w:szCs w:val="18"/>
                <w:b w:val="1"/>
                <w:bCs w:val="1"/>
                <w:color w:val="auto"/>
                <w:w w:val="90"/>
              </w:rPr>
              <w:t>Rochester, MI, 48307</w:t>
            </w:r>
          </w:p>
        </w:tc>
      </w:tr>
      <w:tr>
        <w:trPr>
          <w:trHeight w:val="20"/>
        </w:trPr>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89"/>
              </w:rPr>
              <w:t>(Registrant's telephone number)</w:t>
            </w: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w:t>
      </w:r>
    </w:p>
    <w:p>
      <w:pPr>
        <w:sectPr>
          <w:pgSz w:w="11900" w:h="16838" w:orient="portrait"/>
          <w:cols w:equalWidth="0" w:num="1">
            <w:col w:w="11420"/>
          </w:cols>
          <w:pgMar w:left="240" w:top="544" w:right="239" w:bottom="1440" w:gutter="0" w:footer="0" w:header="0"/>
        </w:sectPr>
      </w:pPr>
    </w:p>
    <w:p>
      <w:pPr>
        <w:spacing w:after="0" w:line="138" w:lineRule="exact"/>
        <w:rPr>
          <w:sz w:val="24"/>
          <w:szCs w:val="24"/>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6820" w:space="720"/>
            <w:col w:w="3880"/>
          </w:cols>
          <w:pgMar w:left="240" w:top="544" w:right="239" w:bottom="1440" w:gutter="0" w:footer="0" w:header="0"/>
          <w:type w:val="continuous"/>
        </w:sectPr>
      </w:pPr>
    </w:p>
    <w:p>
      <w:pPr>
        <w:spacing w:after="0" w:line="3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29,636,831 common shares as of April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6140" w:type="dxa"/>
            <w:vAlign w:val="bottom"/>
            <w:gridSpan w:val="4"/>
          </w:tcPr>
          <w:p>
            <w:pPr>
              <w:jc w:val="center"/>
              <w:ind w:right="298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17"/>
                <w:szCs w:val="17"/>
                <w:color w:val="auto"/>
              </w:rPr>
            </w:pPr>
          </w:p>
        </w:tc>
      </w:tr>
      <w:tr>
        <w:trPr>
          <w:trHeight w:val="460"/>
        </w:trPr>
        <w:tc>
          <w:tcPr>
            <w:tcW w:w="9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r>
      <w:tr>
        <w:trPr>
          <w:trHeight w:val="392"/>
        </w:trPr>
        <w:tc>
          <w:tcPr>
            <w:tcW w:w="9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tc>
        <w:tc>
          <w:tcPr>
            <w:tcW w:w="2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5"/>
          </w:tcPr>
          <w:p>
            <w:pPr>
              <w:ind w:left="260"/>
              <w:spacing w:after="0"/>
              <w:rPr>
                <w:sz w:val="20"/>
                <w:szCs w:val="20"/>
                <w:color w:val="auto"/>
              </w:rPr>
            </w:pPr>
            <w:r>
              <w:rPr>
                <w:rFonts w:ascii="Arial" w:cs="Arial" w:eastAsia="Arial" w:hAnsi="Arial"/>
                <w:sz w:val="18"/>
                <w:szCs w:val="18"/>
                <w:color w:val="auto"/>
              </w:rPr>
              <w:t>Financial Statements (unaudited)</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F-1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gridSpan w:val="5"/>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gridSpan w:val="5"/>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gridSpan w:val="5"/>
          </w:tcPr>
          <w:p>
            <w:pPr>
              <w:ind w:left="260"/>
              <w:spacing w:after="0"/>
              <w:rPr>
                <w:sz w:val="20"/>
                <w:szCs w:val="20"/>
                <w:color w:val="auto"/>
              </w:rPr>
            </w:pPr>
            <w:r>
              <w:rPr>
                <w:rFonts w:ascii="Arial" w:cs="Arial" w:eastAsia="Arial" w:hAnsi="Arial"/>
                <w:sz w:val="18"/>
                <w:szCs w:val="18"/>
                <w:color w:val="auto"/>
              </w:rPr>
              <w:t>Controls and Procedures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432"/>
        </w:trPr>
        <w:tc>
          <w:tcPr>
            <w:tcW w:w="9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14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rPr>
              <w:t>PART II – OTHER INFORMATION</w:t>
            </w:r>
          </w:p>
        </w:tc>
        <w:tc>
          <w:tcPr>
            <w:tcW w:w="1140" w:type="dxa"/>
            <w:vAlign w:val="bottom"/>
          </w:tcPr>
          <w:p>
            <w:pPr>
              <w:spacing w:after="0"/>
              <w:rPr>
                <w:sz w:val="24"/>
                <w:szCs w:val="24"/>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5"/>
          </w:tcPr>
          <w:p>
            <w:pPr>
              <w:ind w:left="260"/>
              <w:spacing w:after="0"/>
              <w:rPr>
                <w:sz w:val="20"/>
                <w:szCs w:val="20"/>
                <w:color w:val="auto"/>
              </w:rPr>
            </w:pPr>
            <w:r>
              <w:rPr>
                <w:rFonts w:ascii="Arial" w:cs="Arial" w:eastAsia="Arial" w:hAnsi="Arial"/>
                <w:sz w:val="18"/>
                <w:szCs w:val="18"/>
                <w:color w:val="auto"/>
              </w:rPr>
              <w:t>Legal Proceedings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380" w:type="dxa"/>
            <w:vAlign w:val="bottom"/>
            <w:gridSpan w:val="5"/>
          </w:tcPr>
          <w:p>
            <w:pPr>
              <w:ind w:left="260"/>
              <w:spacing w:after="0"/>
              <w:rPr>
                <w:sz w:val="20"/>
                <w:szCs w:val="20"/>
                <w:color w:val="auto"/>
              </w:rPr>
            </w:pPr>
            <w:r>
              <w:rPr>
                <w:rFonts w:ascii="Arial" w:cs="Arial" w:eastAsia="Arial" w:hAnsi="Arial"/>
                <w:sz w:val="18"/>
                <w:szCs w:val="18"/>
                <w:color w:val="auto"/>
              </w:rPr>
              <w:t>Risk Factors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gridSpan w:val="5"/>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gridSpan w:val="5"/>
          </w:tcPr>
          <w:p>
            <w:pPr>
              <w:ind w:left="260"/>
              <w:spacing w:after="0"/>
              <w:rPr>
                <w:sz w:val="20"/>
                <w:szCs w:val="20"/>
                <w:color w:val="auto"/>
              </w:rPr>
            </w:pPr>
            <w:r>
              <w:rPr>
                <w:rFonts w:ascii="Arial" w:cs="Arial" w:eastAsia="Arial" w:hAnsi="Arial"/>
                <w:sz w:val="18"/>
                <w:szCs w:val="18"/>
                <w:color w:val="auto"/>
              </w:rPr>
              <w:t>Defaults Upon Senior Securities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gridSpan w:val="5"/>
          </w:tcPr>
          <w:p>
            <w:pPr>
              <w:ind w:left="260"/>
              <w:spacing w:after="0"/>
              <w:rPr>
                <w:sz w:val="20"/>
                <w:szCs w:val="20"/>
                <w:color w:val="auto"/>
              </w:rPr>
            </w:pPr>
            <w:r>
              <w:rPr>
                <w:rFonts w:ascii="Arial" w:cs="Arial" w:eastAsia="Arial" w:hAnsi="Arial"/>
                <w:sz w:val="18"/>
                <w:szCs w:val="18"/>
                <w:color w:val="auto"/>
              </w:rPr>
              <w:t>Mine Safety Disclosure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380" w:type="dxa"/>
            <w:vAlign w:val="bottom"/>
            <w:gridSpan w:val="5"/>
          </w:tcPr>
          <w:p>
            <w:pPr>
              <w:ind w:left="260"/>
              <w:spacing w:after="0"/>
              <w:rPr>
                <w:sz w:val="20"/>
                <w:szCs w:val="20"/>
                <w:color w:val="auto"/>
              </w:rPr>
            </w:pPr>
            <w:r>
              <w:rPr>
                <w:rFonts w:ascii="Arial" w:cs="Arial" w:eastAsia="Arial" w:hAnsi="Arial"/>
                <w:sz w:val="18"/>
                <w:szCs w:val="18"/>
                <w:color w:val="auto"/>
              </w:rPr>
              <w:t>Other Information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380" w:type="dxa"/>
            <w:vAlign w:val="bottom"/>
            <w:gridSpan w:val="5"/>
          </w:tcPr>
          <w:p>
            <w:pPr>
              <w:ind w:left="260"/>
              <w:spacing w:after="0"/>
              <w:rPr>
                <w:sz w:val="20"/>
                <w:szCs w:val="20"/>
                <w:color w:val="auto"/>
              </w:rPr>
            </w:pPr>
            <w:r>
              <w:rPr>
                <w:rFonts w:ascii="Arial" w:cs="Arial" w:eastAsia="Arial" w:hAnsi="Arial"/>
                <w:sz w:val="18"/>
                <w:szCs w:val="18"/>
                <w:color w:val="auto"/>
              </w:rPr>
              <w:t>Exhibits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655"/>
        </w:trPr>
        <w:tc>
          <w:tcPr>
            <w:tcW w:w="9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51"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ind w:right="2240"/>
        <w:spacing w:after="0" w:line="259" w:lineRule="auto"/>
        <w:rPr>
          <w:sz w:val="20"/>
          <w:szCs w:val="20"/>
          <w:color w:val="auto"/>
        </w:rPr>
      </w:pPr>
      <w:r>
        <w:rPr>
          <w:rFonts w:ascii="Arial" w:cs="Arial" w:eastAsia="Arial" w:hAnsi="Arial"/>
          <w:sz w:val="18"/>
          <w:szCs w:val="18"/>
          <w:color w:val="auto"/>
        </w:rPr>
        <w:t>F-1 Condensed Consolidated Balance Sheets as of March 31, 2018 (unaudited) and December 31, 2017; F-2 Condensed Consolidated Statements of Operations for the three months ended March 31, 2018 and 2017 (unaudited); F-3 Condensed Consolidated Statements of Cash Flow for the three months ended March 31, 2018 and 2017 (unaudited); F-4 Notes to Condensed Consolidated Financial Statements.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March 31, 2018 are not necessarily indicative of the results that can be expected for the full year.</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864" w:right="3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right="800"/>
        <w:spacing w:after="0" w:line="300" w:lineRule="auto"/>
        <w:rPr>
          <w:sz w:val="20"/>
          <w:szCs w:val="20"/>
          <w:color w:val="auto"/>
        </w:rPr>
      </w:pPr>
      <w:r>
        <w:rPr>
          <w:rFonts w:ascii="Arial" w:cs="Arial" w:eastAsia="Arial" w:hAnsi="Arial"/>
          <w:sz w:val="15"/>
          <w:szCs w:val="15"/>
          <w:color w:val="auto"/>
        </w:rPr>
        <w:t>Cash and cash equivalents Accounts receivable</w:t>
      </w:r>
    </w:p>
    <w:p>
      <w:pPr>
        <w:spacing w:after="0" w:line="1" w:lineRule="exact"/>
        <w:rPr>
          <w:sz w:val="20"/>
          <w:szCs w:val="20"/>
          <w:color w:val="auto"/>
        </w:rPr>
      </w:pPr>
    </w:p>
    <w:p>
      <w:pPr>
        <w:ind w:left="180" w:right="140"/>
        <w:spacing w:after="0" w:line="257" w:lineRule="auto"/>
        <w:rPr>
          <w:sz w:val="20"/>
          <w:szCs w:val="20"/>
          <w:color w:val="auto"/>
        </w:rPr>
      </w:pPr>
      <w:r>
        <w:rPr>
          <w:rFonts w:ascii="Arial" w:cs="Arial" w:eastAsia="Arial" w:hAnsi="Arial"/>
          <w:sz w:val="18"/>
          <w:szCs w:val="18"/>
          <w:color w:val="auto"/>
        </w:rPr>
        <w:t>Accounts receivable – related party Prepaid expenses</w:t>
      </w:r>
    </w:p>
    <w:p>
      <w:pPr>
        <w:spacing w:after="0" w:line="2" w:lineRule="exact"/>
        <w:rPr>
          <w:sz w:val="20"/>
          <w:szCs w:val="20"/>
          <w:color w:val="auto"/>
        </w:rPr>
      </w:pPr>
    </w:p>
    <w:p>
      <w:pPr>
        <w:ind w:right="840"/>
        <w:spacing w:after="0" w:line="325" w:lineRule="auto"/>
        <w:rPr>
          <w:sz w:val="20"/>
          <w:szCs w:val="20"/>
          <w:color w:val="auto"/>
        </w:rPr>
      </w:pPr>
      <w:r>
        <w:rPr>
          <w:rFonts w:ascii="Arial" w:cs="Arial" w:eastAsia="Arial" w:hAnsi="Arial"/>
          <w:sz w:val="16"/>
          <w:szCs w:val="16"/>
          <w:color w:val="auto"/>
        </w:rPr>
        <w:t>Total Current Assets Property and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Patent rights, net</w:t>
      </w:r>
    </w:p>
    <w:p>
      <w:pPr>
        <w:spacing w:after="0" w:line="9" w:lineRule="exact"/>
        <w:rPr>
          <w:sz w:val="20"/>
          <w:szCs w:val="20"/>
          <w:color w:val="auto"/>
        </w:rPr>
      </w:pPr>
    </w:p>
    <w:p>
      <w:pPr>
        <w:ind w:left="180" w:right="680"/>
        <w:spacing w:after="0" w:line="257" w:lineRule="auto"/>
        <w:rPr>
          <w:sz w:val="20"/>
          <w:szCs w:val="20"/>
          <w:color w:val="auto"/>
        </w:rPr>
      </w:pPr>
      <w:r>
        <w:rPr>
          <w:rFonts w:ascii="Arial" w:cs="Arial" w:eastAsia="Arial" w:hAnsi="Arial"/>
          <w:sz w:val="18"/>
          <w:szCs w:val="18"/>
          <w:color w:val="auto"/>
        </w:rPr>
        <w:t>Web development costs, net Security deposit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 OF MARCH 31, 2018 AND DECEMBER 31, 2017</w:t>
      </w:r>
    </w:p>
    <w:p>
      <w:pPr>
        <w:spacing w:after="0" w:line="21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31,</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30"/>
        </w:trPr>
        <w:tc>
          <w:tcPr>
            <w:tcW w:w="4900" w:type="dxa"/>
            <w:vAlign w:val="bottom"/>
            <w:gridSpan w:val="2"/>
            <w:vMerge w:val="restart"/>
          </w:tcPr>
          <w:p>
            <w:pPr>
              <w:jc w:val="right"/>
              <w:ind w:right="4240"/>
              <w:spacing w:after="0"/>
              <w:rPr>
                <w:sz w:val="20"/>
                <w:szCs w:val="20"/>
                <w:color w:val="auto"/>
              </w:rPr>
            </w:pPr>
            <w:r>
              <w:rPr>
                <w:rFonts w:ascii="Arial" w:cs="Arial" w:eastAsia="Arial" w:hAnsi="Arial"/>
                <w:sz w:val="18"/>
                <w:szCs w:val="18"/>
                <w:b w:val="1"/>
                <w:bCs w:val="1"/>
                <w:color w:val="auto"/>
                <w:w w:val="88"/>
              </w:rPr>
              <w:t>ASSETS</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0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4,298,619</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5,122,573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1,871,255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2,257,276</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1,974,143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1,173,614</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191,413</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255,428</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8,335,430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8,808,891</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157,608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167,305</w:t>
            </w:r>
          </w:p>
        </w:tc>
        <w:tc>
          <w:tcPr>
            <w:tcW w:w="0" w:type="dxa"/>
            <w:vAlign w:val="bottom"/>
          </w:tcPr>
          <w:p>
            <w:pPr>
              <w:spacing w:after="0"/>
              <w:rPr>
                <w:sz w:val="1"/>
                <w:szCs w:val="1"/>
                <w:color w:val="auto"/>
              </w:rPr>
            </w:pPr>
          </w:p>
        </w:tc>
      </w:tr>
      <w:tr>
        <w:trPr>
          <w:trHeight w:val="418"/>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621,793</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638,766</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152,493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143,730</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779,335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787,545</w:t>
            </w:r>
          </w:p>
        </w:tc>
        <w:tc>
          <w:tcPr>
            <w:tcW w:w="0" w:type="dxa"/>
            <w:vAlign w:val="bottom"/>
          </w:tcPr>
          <w:p>
            <w:pPr>
              <w:spacing w:after="0"/>
              <w:rPr>
                <w:sz w:val="1"/>
                <w:szCs w:val="1"/>
                <w:color w:val="auto"/>
              </w:rPr>
            </w:pPr>
          </w:p>
        </w:tc>
      </w:tr>
      <w:tr>
        <w:trPr>
          <w:trHeight w:val="250"/>
        </w:trPr>
        <w:tc>
          <w:tcPr>
            <w:tcW w:w="4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9,272,373</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9,763,741</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2880" w:space="720"/>
            <w:col w:w="7780"/>
          </w:cols>
          <w:pgMar w:left="240" w:top="864" w:right="279" w:bottom="1440" w:gutter="0" w:footer="0" w:header="0"/>
        </w:sectPr>
      </w:pPr>
    </w:p>
    <w:tbl>
      <w:tblPr>
        <w:tblLayout w:type="fixed"/>
        <w:tblInd w:w="0" w:type="dxa"/>
        <w:tblCellMar>
          <w:top w:w="0" w:type="dxa"/>
          <w:left w:w="0" w:type="dxa"/>
          <w:bottom w:w="0" w:type="dxa"/>
          <w:right w:w="0" w:type="dxa"/>
        </w:tblCellMar>
      </w:tblPr>
      <w:tr>
        <w:trPr>
          <w:trHeight w:val="220"/>
        </w:trPr>
        <w:tc>
          <w:tcPr>
            <w:tcW w:w="8560" w:type="dxa"/>
            <w:vAlign w:val="bottom"/>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133,870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457,289</w:t>
            </w:r>
          </w:p>
        </w:tc>
        <w:tc>
          <w:tcPr>
            <w:tcW w:w="6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549,656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953,947</w:t>
            </w:r>
          </w:p>
        </w:tc>
        <w:tc>
          <w:tcPr>
            <w:tcW w:w="6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898,478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1,177,136</w:t>
            </w:r>
          </w:p>
        </w:tc>
        <w:tc>
          <w:tcPr>
            <w:tcW w:w="6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Revenue share payable – related party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447,670</w:t>
            </w:r>
          </w:p>
        </w:tc>
        <w:tc>
          <w:tcPr>
            <w:tcW w:w="60" w:type="dxa"/>
            <w:vAlign w:val="bottom"/>
          </w:tcPr>
          <w:p>
            <w:pPr>
              <w:spacing w:after="0"/>
              <w:rPr>
                <w:sz w:val="18"/>
                <w:szCs w:val="18"/>
                <w:color w:val="auto"/>
              </w:rPr>
            </w:pPr>
          </w:p>
        </w:tc>
      </w:tr>
      <w:tr>
        <w:trPr>
          <w:trHeight w:val="251"/>
        </w:trPr>
        <w:tc>
          <w:tcPr>
            <w:tcW w:w="85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856,914</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507,160</w:t>
            </w:r>
          </w:p>
        </w:tc>
        <w:tc>
          <w:tcPr>
            <w:tcW w:w="60" w:type="dxa"/>
            <w:vAlign w:val="bottom"/>
          </w:tcPr>
          <w:p>
            <w:pPr>
              <w:spacing w:after="0"/>
              <w:rPr>
                <w:sz w:val="21"/>
                <w:szCs w:val="21"/>
                <w:color w:val="auto"/>
              </w:rPr>
            </w:pPr>
          </w:p>
        </w:tc>
      </w:tr>
      <w:tr>
        <w:trPr>
          <w:trHeight w:val="223"/>
        </w:trPr>
        <w:tc>
          <w:tcPr>
            <w:tcW w:w="8560" w:type="dxa"/>
            <w:vAlign w:val="bottom"/>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2,438,918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3,543,202</w:t>
            </w:r>
          </w:p>
        </w:tc>
        <w:tc>
          <w:tcPr>
            <w:tcW w:w="60" w:type="dxa"/>
            <w:vAlign w:val="bottom"/>
          </w:tcPr>
          <w:p>
            <w:pPr>
              <w:spacing w:after="0"/>
              <w:rPr>
                <w:sz w:val="19"/>
                <w:szCs w:val="19"/>
                <w:color w:val="auto"/>
              </w:rPr>
            </w:pPr>
          </w:p>
        </w:tc>
      </w:tr>
      <w:tr>
        <w:trPr>
          <w:trHeight w:val="202"/>
        </w:trPr>
        <w:tc>
          <w:tcPr>
            <w:tcW w:w="856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w w:val="92"/>
              </w:rPr>
              <w:t>Preferred stock, $0.001 par value, 10,000,000 shares authorized, no issued and outstanding at March 31, 2018 or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December 31, 2017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w w:val="92"/>
              </w:rPr>
              <w:t>Common stock, $0.001 par value, 500,000,000 shares authorized, 29,636,831 and 29,318,081 shares issued and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outstanding at March 31, 2018 and December 31, 2017, respectively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29,637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29,318</w:t>
            </w:r>
          </w:p>
        </w:tc>
        <w:tc>
          <w:tcPr>
            <w:tcW w:w="6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1,286,424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1,286,424</w:t>
            </w:r>
          </w:p>
        </w:tc>
        <w:tc>
          <w:tcPr>
            <w:tcW w:w="6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36,211,722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35,267,919</w:t>
            </w:r>
          </w:p>
        </w:tc>
        <w:tc>
          <w:tcPr>
            <w:tcW w:w="60" w:type="dxa"/>
            <w:vAlign w:val="bottom"/>
          </w:tcPr>
          <w:p>
            <w:pPr>
              <w:spacing w:after="0"/>
              <w:rPr>
                <w:sz w:val="18"/>
                <w:szCs w:val="18"/>
                <w:color w:val="auto"/>
              </w:rPr>
            </w:pPr>
          </w:p>
        </w:tc>
      </w:tr>
      <w:tr>
        <w:trPr>
          <w:trHeight w:val="251"/>
        </w:trPr>
        <w:tc>
          <w:tcPr>
            <w:tcW w:w="85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(30,694,328)</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(30,363,122)</w:t>
            </w:r>
          </w:p>
        </w:tc>
      </w:tr>
      <w:tr>
        <w:trPr>
          <w:trHeight w:val="223"/>
        </w:trPr>
        <w:tc>
          <w:tcPr>
            <w:tcW w:w="856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6,833,455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6,220,539</w:t>
            </w:r>
          </w:p>
        </w:tc>
        <w:tc>
          <w:tcPr>
            <w:tcW w:w="60" w:type="dxa"/>
            <w:vAlign w:val="bottom"/>
          </w:tcPr>
          <w:p>
            <w:pPr>
              <w:spacing w:after="0"/>
              <w:rPr>
                <w:sz w:val="19"/>
                <w:szCs w:val="19"/>
                <w:color w:val="auto"/>
              </w:rPr>
            </w:pPr>
          </w:p>
        </w:tc>
      </w:tr>
      <w:tr>
        <w:trPr>
          <w:trHeight w:val="250"/>
        </w:trPr>
        <w:tc>
          <w:tcPr>
            <w:tcW w:w="856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9,272,373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9,763,741</w:t>
            </w:r>
          </w:p>
        </w:tc>
        <w:tc>
          <w:tcPr>
            <w:tcW w:w="60" w:type="dxa"/>
            <w:vAlign w:val="bottom"/>
          </w:tcPr>
          <w:p>
            <w:pPr>
              <w:spacing w:after="0"/>
              <w:rPr>
                <w:sz w:val="21"/>
                <w:szCs w:val="21"/>
                <w:color w:val="auto"/>
              </w:rPr>
            </w:pPr>
          </w:p>
        </w:tc>
      </w:tr>
      <w:tr>
        <w:trPr>
          <w:trHeight w:val="21"/>
        </w:trPr>
        <w:tc>
          <w:tcPr>
            <w:tcW w:w="8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64" w:right="279" w:bottom="1440" w:gutter="0" w:footer="0" w:header="0"/>
          <w:type w:val="continuous"/>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11"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r>
      <w:tr>
        <w:trPr>
          <w:trHeight w:val="202"/>
        </w:trPr>
        <w:tc>
          <w:tcPr>
            <w:tcW w:w="5560" w:type="dxa"/>
            <w:vAlign w:val="bottom"/>
          </w:tcPr>
          <w:p>
            <w:pPr>
              <w:spacing w:after="0" w:line="201" w:lineRule="exact"/>
              <w:rPr>
                <w:sz w:val="20"/>
                <w:szCs w:val="20"/>
                <w:color w:val="auto"/>
              </w:rPr>
            </w:pPr>
            <w:r>
              <w:rPr>
                <w:rFonts w:ascii="Arial" w:cs="Arial" w:eastAsia="Arial" w:hAnsi="Arial"/>
                <w:sz w:val="18"/>
                <w:szCs w:val="18"/>
                <w:color w:val="auto"/>
              </w:rPr>
              <w:t>NET REVENUE</w:t>
            </w:r>
          </w:p>
        </w:tc>
        <w:tc>
          <w:tcPr>
            <w:tcW w:w="3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Revenue</w:t>
            </w:r>
          </w:p>
        </w:tc>
        <w:tc>
          <w:tcPr>
            <w:tcW w:w="450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$2,781,621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1,400,318</w:t>
            </w:r>
          </w:p>
        </w:tc>
      </w:tr>
      <w:tr>
        <w:trPr>
          <w:trHeight w:val="251"/>
        </w:trPr>
        <w:tc>
          <w:tcPr>
            <w:tcW w:w="5560" w:type="dxa"/>
            <w:vAlign w:val="bottom"/>
          </w:tcPr>
          <w:p>
            <w:pPr>
              <w:ind w:left="180"/>
              <w:spacing w:after="0"/>
              <w:rPr>
                <w:sz w:val="20"/>
                <w:szCs w:val="20"/>
                <w:color w:val="auto"/>
              </w:rPr>
            </w:pPr>
            <w:r>
              <w:rPr>
                <w:rFonts w:ascii="Arial" w:cs="Arial" w:eastAsia="Arial" w:hAnsi="Arial"/>
                <w:sz w:val="18"/>
                <w:szCs w:val="18"/>
                <w:color w:val="auto"/>
              </w:rPr>
              <w:t>Revenue – Related Party</w:t>
            </w:r>
          </w:p>
        </w:tc>
        <w:tc>
          <w:tcPr>
            <w:tcW w:w="4500" w:type="dxa"/>
            <w:vAlign w:val="bottom"/>
            <w:gridSpan w:val="3"/>
          </w:tcPr>
          <w:p>
            <w:pPr>
              <w:jc w:val="right"/>
              <w:ind w:right="100"/>
              <w:spacing w:after="0"/>
              <w:rPr>
                <w:sz w:val="20"/>
                <w:szCs w:val="20"/>
                <w:color w:val="auto"/>
              </w:rPr>
            </w:pPr>
            <w:r>
              <w:rPr>
                <w:rFonts w:ascii="Arial" w:cs="Arial" w:eastAsia="Arial" w:hAnsi="Arial"/>
                <w:sz w:val="18"/>
                <w:szCs w:val="18"/>
                <w:color w:val="auto"/>
              </w:rPr>
              <w:t>1,330,616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751,755</w:t>
            </w:r>
          </w:p>
        </w:tc>
      </w:tr>
      <w:tr>
        <w:trPr>
          <w:trHeight w:val="202"/>
        </w:trPr>
        <w:tc>
          <w:tcPr>
            <w:tcW w:w="5560" w:type="dxa"/>
            <w:vAlign w:val="bottom"/>
          </w:tcPr>
          <w:p>
            <w:pPr>
              <w:spacing w:after="0" w:line="201" w:lineRule="exact"/>
              <w:rPr>
                <w:sz w:val="20"/>
                <w:szCs w:val="20"/>
                <w:color w:val="auto"/>
              </w:rPr>
            </w:pPr>
            <w:r>
              <w:rPr>
                <w:rFonts w:ascii="Arial" w:cs="Arial" w:eastAsia="Arial" w:hAnsi="Arial"/>
                <w:sz w:val="18"/>
                <w:szCs w:val="18"/>
                <w:color w:val="auto"/>
              </w:rPr>
              <w:t>TOTAL NET REVENUE</w:t>
            </w:r>
          </w:p>
        </w:tc>
        <w:tc>
          <w:tcPr>
            <w:tcW w:w="326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4,112,237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2,152,073</w:t>
            </w:r>
          </w:p>
        </w:tc>
      </w:tr>
      <w:tr>
        <w:trPr>
          <w:trHeight w:val="244"/>
        </w:trPr>
        <w:tc>
          <w:tcPr>
            <w:tcW w:w="5560" w:type="dxa"/>
            <w:vAlign w:val="bottom"/>
          </w:tcPr>
          <w:p>
            <w:pPr>
              <w:spacing w:after="0"/>
              <w:rPr>
                <w:sz w:val="20"/>
                <w:szCs w:val="20"/>
                <w:color w:val="auto"/>
              </w:rPr>
            </w:pPr>
            <w:r>
              <w:rPr>
                <w:rFonts w:ascii="Arial" w:cs="Arial" w:eastAsia="Arial" w:hAnsi="Arial"/>
                <w:sz w:val="18"/>
                <w:szCs w:val="18"/>
                <w:color w:val="auto"/>
              </w:rPr>
              <w:t>REVENUE SHARE EXPENSE</w:t>
            </w:r>
          </w:p>
        </w:tc>
        <w:tc>
          <w:tcPr>
            <w:tcW w:w="32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2,008,092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1,381,733</w:t>
            </w:r>
          </w:p>
        </w:tc>
      </w:tr>
      <w:tr>
        <w:trPr>
          <w:trHeight w:val="27"/>
        </w:trPr>
        <w:tc>
          <w:tcPr>
            <w:tcW w:w="55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80"/>
          </w:cols>
          <w:pgMar w:left="240" w:top="864" w:right="279" w:bottom="1440" w:gutter="0" w:footer="0" w:header="0"/>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OTHER INCOME (EXPENSE)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LOSS BEFORE PROVISION FOR INCOME TAXES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2,104,145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770,340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2,295,341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1,660,778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6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(191,196)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(890,438)</w:t>
            </w:r>
          </w:p>
        </w:tc>
        <w:tc>
          <w:tcPr>
            <w:tcW w:w="0" w:type="dxa"/>
            <w:vAlign w:val="bottom"/>
          </w:tcPr>
          <w:p>
            <w:pPr>
              <w:spacing w:after="0"/>
              <w:rPr>
                <w:sz w:val="1"/>
                <w:szCs w:val="1"/>
                <w:color w:val="auto"/>
              </w:rPr>
            </w:pPr>
          </w:p>
        </w:tc>
      </w:tr>
      <w:tr>
        <w:trPr>
          <w:trHeight w:val="647"/>
        </w:trPr>
        <w:tc>
          <w:tcPr>
            <w:tcW w:w="2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(189,179)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(882,682)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(189,179</w:t>
            </w:r>
          </w:p>
        </w:tc>
        <w:tc>
          <w:tcPr>
            <w:tcW w:w="240" w:type="dxa"/>
            <w:vAlign w:val="bottom"/>
            <w:gridSpan w:val="2"/>
            <w:vMerge w:val="continue"/>
          </w:tcPr>
          <w:p>
            <w:pPr>
              <w:spacing w:after="0"/>
              <w:rPr>
                <w:sz w:val="21"/>
                <w:szCs w:val="21"/>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(882,682)</w:t>
            </w:r>
          </w:p>
        </w:tc>
        <w:tc>
          <w:tcPr>
            <w:tcW w:w="0" w:type="dxa"/>
            <w:vAlign w:val="bottom"/>
          </w:tcPr>
          <w:p>
            <w:pPr>
              <w:spacing w:after="0"/>
              <w:rPr>
                <w:sz w:val="1"/>
                <w:szCs w:val="1"/>
                <w:color w:val="auto"/>
              </w:rPr>
            </w:pPr>
          </w:p>
        </w:tc>
      </w:tr>
      <w:tr>
        <w:trPr>
          <w:trHeight w:val="21"/>
        </w:trPr>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560"/>
          </w:cols>
          <w:pgMar w:left="240" w:top="864" w:right="27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63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29,358,081</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29,718,867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36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36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63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(0.01</w:t>
            </w:r>
            <w:r>
              <w:rPr>
                <w:rFonts w:ascii="Arial" w:cs="Arial" w:eastAsia="Arial" w:hAnsi="Arial"/>
                <w:sz w:val="36"/>
                <w:szCs w:val="36"/>
                <w:color w:val="auto"/>
                <w:vertAlign w:val="superscript"/>
              </w:rPr>
              <w:t>)</w:t>
            </w:r>
            <w:r>
              <w:rPr>
                <w:rFonts w:ascii="Arial" w:cs="Arial" w:eastAsia="Arial" w:hAnsi="Arial"/>
                <w:sz w:val="18"/>
                <w:szCs w:val="18"/>
                <w:color w:val="auto"/>
              </w:rPr>
              <w:t xml:space="preserve">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64" w:right="279" w:bottom="1440" w:gutter="0" w:footer="0" w:header="0"/>
          <w:type w:val="continuous"/>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520"/>
              <w:spacing w:after="0"/>
              <w:rPr>
                <w:sz w:val="20"/>
                <w:szCs w:val="20"/>
                <w:color w:val="auto"/>
              </w:rPr>
            </w:pPr>
            <w:r>
              <w:rPr>
                <w:rFonts w:ascii="Arial" w:cs="Arial" w:eastAsia="Arial" w:hAnsi="Arial"/>
                <w:sz w:val="18"/>
                <w:szCs w:val="18"/>
                <w:color w:val="auto"/>
              </w:rPr>
              <w:t>For the Three Months</w:t>
            </w:r>
          </w:p>
        </w:tc>
      </w:tr>
      <w:tr>
        <w:trPr>
          <w:trHeight w:val="237"/>
        </w:trPr>
        <w:tc>
          <w:tcPr>
            <w:tcW w:w="7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660"/>
              <w:spacing w:after="0"/>
              <w:rPr>
                <w:sz w:val="20"/>
                <w:szCs w:val="20"/>
                <w:color w:val="auto"/>
              </w:rPr>
            </w:pPr>
            <w:r>
              <w:rPr>
                <w:rFonts w:ascii="Arial" w:cs="Arial" w:eastAsia="Arial" w:hAnsi="Arial"/>
                <w:sz w:val="18"/>
                <w:szCs w:val="18"/>
                <w:color w:val="auto"/>
              </w:rPr>
              <w:t>Ended March 31,</w:t>
            </w:r>
          </w:p>
        </w:tc>
      </w:tr>
      <w:tr>
        <w:trPr>
          <w:trHeight w:val="237"/>
        </w:trPr>
        <w:tc>
          <w:tcPr>
            <w:tcW w:w="7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40" w:type="dxa"/>
            <w:vAlign w:val="bottom"/>
          </w:tcPr>
          <w:p>
            <w:pPr>
              <w:spacing w:after="0"/>
              <w:rPr>
                <w:sz w:val="20"/>
                <w:szCs w:val="20"/>
                <w:color w:val="auto"/>
              </w:rPr>
            </w:pPr>
          </w:p>
        </w:tc>
      </w:tr>
      <w:tr>
        <w:trPr>
          <w:trHeight w:val="202"/>
        </w:trPr>
        <w:tc>
          <w:tcPr>
            <w:tcW w:w="764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Net loss for the period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(189,179)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(882,682)</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54,473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70,973</w:t>
            </w:r>
          </w:p>
        </w:tc>
        <w:tc>
          <w:tcPr>
            <w:tcW w:w="40" w:type="dxa"/>
            <w:vAlign w:val="bottom"/>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Stock and options issued for services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497,122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129,444</w:t>
            </w:r>
          </w:p>
        </w:tc>
        <w:tc>
          <w:tcPr>
            <w:tcW w:w="4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Changes in: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(414,508)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253,074</w:t>
            </w:r>
          </w:p>
        </w:tc>
        <w:tc>
          <w:tcPr>
            <w:tcW w:w="40" w:type="dxa"/>
            <w:vAlign w:val="bottom"/>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64,015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(67,761)</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(323,419)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161,228</w:t>
            </w:r>
          </w:p>
        </w:tc>
        <w:tc>
          <w:tcPr>
            <w:tcW w:w="40" w:type="dxa"/>
            <w:vAlign w:val="bottom"/>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(279,328)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(673,730)</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(404,291)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(230,975)</w:t>
            </w:r>
          </w:p>
        </w:tc>
      </w:tr>
      <w:tr>
        <w:trPr>
          <w:trHeight w:val="251"/>
        </w:trPr>
        <w:tc>
          <w:tcPr>
            <w:tcW w:w="76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207,727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943,193</w:t>
            </w:r>
          </w:p>
        </w:tc>
        <w:tc>
          <w:tcPr>
            <w:tcW w:w="40" w:type="dxa"/>
            <w:vAlign w:val="bottom"/>
          </w:tcPr>
          <w:p>
            <w:pPr>
              <w:spacing w:after="0"/>
              <w:rPr>
                <w:sz w:val="21"/>
                <w:szCs w:val="21"/>
                <w:color w:val="auto"/>
              </w:rPr>
            </w:pPr>
          </w:p>
        </w:tc>
      </w:tr>
      <w:tr>
        <w:trPr>
          <w:trHeight w:val="223"/>
        </w:trPr>
        <w:tc>
          <w:tcPr>
            <w:tcW w:w="7640" w:type="dxa"/>
            <w:vAlign w:val="bottom"/>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(787,388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(297,236</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418"/>
        </w:trPr>
        <w:tc>
          <w:tcPr>
            <w:tcW w:w="7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(16,146)</w:t>
            </w:r>
          </w:p>
        </w:tc>
      </w:tr>
      <w:tr>
        <w:trPr>
          <w:trHeight w:val="251"/>
        </w:trPr>
        <w:tc>
          <w:tcPr>
            <w:tcW w:w="764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(32,763)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7640" w:type="dxa"/>
            <w:vAlign w:val="bottom"/>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(36,566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(16,146</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7"/>
        </w:trPr>
        <w:tc>
          <w:tcPr>
            <w:tcW w:w="7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14605</wp:posOffset>
            </wp:positionV>
            <wp:extent cx="15862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ectPr>
          <w:pgSz w:w="11900" w:h="16838" w:orient="portrait"/>
          <w:cols w:equalWidth="0" w:num="1">
            <w:col w:w="11380"/>
          </w:cols>
          <w:pgMar w:left="240" w:top="864" w:right="279" w:bottom="1440" w:gutter="0" w:footer="0" w:header="0"/>
        </w:sectPr>
      </w:pPr>
    </w:p>
    <w:p>
      <w:pPr>
        <w:spacing w:after="0" w:line="251" w:lineRule="exact"/>
        <w:rPr>
          <w:sz w:val="20"/>
          <w:szCs w:val="20"/>
          <w:color w:val="auto"/>
        </w:rPr>
      </w:pPr>
    </w:p>
    <w:p>
      <w:pPr>
        <w:ind w:right="2740"/>
        <w:spacing w:after="0" w:line="303" w:lineRule="auto"/>
        <w:rPr>
          <w:sz w:val="20"/>
          <w:szCs w:val="20"/>
          <w:color w:val="auto"/>
        </w:rPr>
      </w:pPr>
      <w:r>
        <w:rPr>
          <w:rFonts w:ascii="Arial" w:cs="Arial" w:eastAsia="Arial" w:hAnsi="Arial"/>
          <w:sz w:val="17"/>
          <w:szCs w:val="17"/>
          <w:color w:val="auto"/>
        </w:rPr>
        <w:t>NET INCREASE (DECREASE) IN CASH AND CASH EQUIVALENTS CASH AND CASH EQUIVALENTS - BEGINNING OF PERIOD CASH AND CASH EQUIVALENTS - END OF PERIOD</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both"/>
        <w:ind w:left="500"/>
        <w:spacing w:after="0"/>
        <w:tabs>
          <w:tab w:leader="none" w:pos="1820" w:val="left"/>
        </w:tabs>
        <w:rPr>
          <w:sz w:val="20"/>
          <w:szCs w:val="20"/>
          <w:color w:val="auto"/>
        </w:rPr>
      </w:pPr>
      <w:r>
        <w:rPr>
          <w:rFonts w:ascii="Arial" w:cs="Arial" w:eastAsia="Arial" w:hAnsi="Arial"/>
          <w:sz w:val="18"/>
          <w:szCs w:val="18"/>
          <w:color w:val="auto"/>
        </w:rPr>
        <w:t>(823,954)</w:t>
      </w:r>
      <w:r>
        <w:rPr>
          <w:sz w:val="20"/>
          <w:szCs w:val="20"/>
          <w:color w:val="auto"/>
        </w:rPr>
        <w:tab/>
      </w:r>
      <w:r>
        <w:rPr>
          <w:rFonts w:ascii="Arial" w:cs="Arial" w:eastAsia="Arial" w:hAnsi="Arial"/>
          <w:sz w:val="18"/>
          <w:szCs w:val="18"/>
          <w:color w:val="auto"/>
        </w:rPr>
        <w:t>(313,382)</w:t>
      </w:r>
    </w:p>
    <w:p>
      <w:pPr>
        <w:spacing w:after="0" w:line="23"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7"/>
          <w:szCs w:val="17"/>
          <w:color w:val="auto"/>
        </w:rPr>
        <w:t>5,122,573</w:t>
      </w:r>
      <w:r>
        <w:rPr>
          <w:sz w:val="20"/>
          <w:szCs w:val="20"/>
          <w:color w:val="auto"/>
        </w:rPr>
        <w:tab/>
      </w:r>
      <w:r>
        <w:rPr>
          <w:rFonts w:ascii="Arial" w:cs="Arial" w:eastAsia="Arial" w:hAnsi="Arial"/>
          <w:sz w:val="17"/>
          <w:szCs w:val="17"/>
          <w:color w:val="auto"/>
        </w:rPr>
        <w:t>7,034,647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15862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54" w:lineRule="exact"/>
        <w:rPr>
          <w:sz w:val="20"/>
          <w:szCs w:val="20"/>
          <w:color w:val="auto"/>
        </w:rPr>
      </w:pPr>
    </w:p>
    <w:p>
      <w:pPr>
        <w:spacing w:after="0"/>
        <w:tabs>
          <w:tab w:leader="none" w:pos="400" w:val="left"/>
          <w:tab w:leader="none" w:pos="1340" w:val="left"/>
          <w:tab w:leader="none" w:pos="1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4,298,619</w:t>
        <w:tab/>
        <w:t>$</w:t>
      </w:r>
      <w:r>
        <w:rPr>
          <w:sz w:val="20"/>
          <w:szCs w:val="20"/>
          <w:color w:val="auto"/>
        </w:rPr>
        <w:tab/>
      </w:r>
      <w:r>
        <w:rPr>
          <w:rFonts w:ascii="Arial" w:cs="Arial" w:eastAsia="Arial" w:hAnsi="Arial"/>
          <w:sz w:val="16"/>
          <w:szCs w:val="16"/>
          <w:color w:val="auto"/>
        </w:rPr>
        <w:t>6,721,265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4318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8100" w:space="720"/>
            <w:col w:w="2560"/>
          </w:cols>
          <w:pgMar w:left="240" w:top="864" w:right="279" w:bottom="144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4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44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7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5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440" w:type="dxa"/>
            <w:vAlign w:val="bottom"/>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23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tcBorders>
            <w:gridSpan w:val="2"/>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440" w:type="dxa"/>
            <w:vAlign w:val="bottom"/>
            <w:vMerge w:val="restart"/>
          </w:tcPr>
          <w:p>
            <w:pPr>
              <w:ind w:left="180"/>
              <w:spacing w:after="0"/>
              <w:rPr>
                <w:sz w:val="20"/>
                <w:szCs w:val="20"/>
                <w:color w:val="auto"/>
              </w:rPr>
            </w:pPr>
            <w:r>
              <w:rPr>
                <w:rFonts w:ascii="Arial" w:cs="Arial" w:eastAsia="Arial" w:hAnsi="Arial"/>
                <w:sz w:val="18"/>
                <w:szCs w:val="18"/>
                <w:color w:val="auto"/>
              </w:rPr>
              <w:t>Non-cash issuance of shares to WPP</w:t>
            </w:r>
          </w:p>
        </w:tc>
        <w:tc>
          <w:tcPr>
            <w:tcW w:w="27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64" w:right="2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consolidated financial statements for the three months ended March 31, 2018 and 2017 have been prepared by us without audit pursuant to the rules and regulations of the U.S. Securities and Exchange Commission. In the opinion of management, all adjustments necessary to present fairly our financial position, results of operations, and cash flows as of March 31, 2018 and 2017, and for the periods then ended, have been made. Those adjustments consist of normal and recurring adjustments. The consolidated balance sheet as of December 31, 2017, has been derived from the audited consolidated balance sheet as of that date.</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2017, as filed with the U.S. Securities and Exchange Commission.</w:t>
      </w:r>
    </w:p>
    <w:p>
      <w:pPr>
        <w:spacing w:after="0" w:line="18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results of operations for the three months ended March 31, 2018, are not necessarily indicative of the results to be expected for the full year. Certain reclassifications have been made in the prior period’s consolidated financial statements to conform to the current period’s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2 – NEW FINANCIAL ACCOUNTING STANDARDS</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On January 1, 2018, we adopted the new accounting standard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all of the related amendments (“new revenue standard”). We recorded the change, which was immaterial, related to adopting the new revenue standard using the modified retrospective method. Under this method, we recognized the cumulative effect of initially applying the new revenue standard as an adjustment to the opening balance of retained earnings. This results in no restatement of prior periods, which continue to be reported under the accounting standards in effect for those periods. We expect the impact of the adoption of the new revenue standard to continue to be immaterial on an ongoing basis.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applied the new revenue standard to all contracts as of the date of initial application. The overwhelming majority of our revenue continues to be recognized when transactions occur, such as the delivery of a message. We previously recognized revenue related to set-ups when a program launched, and all related activities had been accomplished. Under the new revenue standard, we are recognizing revenue related to these set ups over the term of the initial contract. Since set up fees are generally small relative to the size of the overall contract and because most contracts are for a year or less, the impact of this change is immaterial.</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impact of recording this change as of January 1, 2018 resulted in an increase in deferred revenue of $142,027 at that date and a corresponding decrease in retained earnings as well. The impact of adopting the new revenue standard in 2018 resulted in lower revenues in the three months ended March 31, 2018. Had the new revenue standard not taken effect, our revenues for the period would have been higher by $117,911 and deferred revenues lower by $117,911. All of these revenues are expected to be recognized by December 31, 2018, so the primary effect of the new revenue standard is to shift revenues between quarters by immaterial amounts.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STOCKHOLDERS’ EQUITY</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both March 2018 and 2017, we issued 18,750 shares of our common stock to our independent directors in connection with our Director Compensation Plan, which calls for issuance of 6,250 shares per quarter to each independent director. These shares were valued at $28,875 and $15,375 at March 31, 2018 and 2017, respectively.</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March 2018, we issued 300,000 shares of common stock to a subsidiary of WPP, one of the world’s largest advertising companies, and a shareholder, in full payment of all amounts due under a comarketing agreement that covered certain WPP agencies, whereby we shared a portion of our revenue with those agencies related to programs awarded to us by those agencies. The shares were valued at $447,000, the market value of the stock on the date of issuance. The amount due was recorded as a liability in revenue share payable at December 31, 2017.</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Basic and diluted earnings per share are the same in both periods. The number of common shares potentially issuable related to dilutive securities that were excluded from the diluted loss per common share calculation was approximately 1,812,515, because they are anti-dilutive, as a result of a net loss for the quarter ended March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4 – SHARE BASED PAYMENTS – OPTIONS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use the fair value method to account for stock based compensation. We recorded $468,247 and $114,069 in compensation expense in the three months ended March 31, 2018 and 2017, respectively, related to options issued under our stock-based incentive compensation plan. This includes expense related to options issued in prior years for which the requisite service period for those options includes the current year as well as options issued in the current year. The fair value of these instruments was calculated using the Black-Scholes option pricing model. The assumptions used in this model were similar to the assumptions set forth in our Annual Report on Form 10-K for the fiscal year ended December 31, 2017 related to grants in 2017. As also discussed in the 10-K, we increased the shares of common stock authorized under our stock option plan during the quarter to 5.5 million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5 – RELATED PARTY TRANSACTIONS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described in more detail in Note 3, Stockholders Equity, we issued 300,000 shares of our common stock to a subsidiary of WPP, a shareholder that owns approximately 20% of our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6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involved in any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7 – SUBSEQUENT EVENTS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May 2018, we signed an agreement to issue 5,000,000 shares of common stock for gross proceeds of $9.0 million, with expected net proceeds of approximately $8.3 million. The transaction is expected to close in early May. In addition, our Board of Directors approved a 1 for 3 stock split to meet the requirements of NASDAQ. The reverse split will be effective at a future date.</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64"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April 2018</w:t>
      </w:r>
    </w:p>
    <w:p>
      <w:pPr>
        <w:spacing w:after="0" w:line="225" w:lineRule="exact"/>
        <w:rPr>
          <w:sz w:val="20"/>
          <w:szCs w:val="20"/>
          <w:color w:val="auto"/>
        </w:rPr>
      </w:pPr>
    </w:p>
    <w:p>
      <w:pPr>
        <w:ind w:left="700" w:right="20" w:hanging="692"/>
        <w:spacing w:after="0" w:line="288" w:lineRule="auto"/>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applied for listing on the NASDAQ Capital Market Exchange. In connection with this, our board of directors has approved a reverse split of our common stock on a 1 to 3 basis to meet the listing requirements and we have agreed to issue 5.0 million shares in exchange for gross proceeds of $9.0 million to further solidify our financial position and accelerate our growth. The reverse split will be effective at a future date when approved by</w:t>
      </w:r>
    </w:p>
    <w:p>
      <w:pPr>
        <w:ind w:left="700"/>
        <w:spacing w:after="0"/>
        <w:rPr>
          <w:rFonts w:ascii="Arial" w:cs="Arial" w:eastAsia="Arial" w:hAnsi="Arial"/>
          <w:sz w:val="16"/>
          <w:szCs w:val="16"/>
          <w:color w:val="auto"/>
        </w:rPr>
      </w:pPr>
      <w:r>
        <w:rPr>
          <w:rFonts w:ascii="Arial" w:cs="Arial" w:eastAsia="Arial" w:hAnsi="Arial"/>
          <w:sz w:val="18"/>
          <w:szCs w:val="18"/>
          <w:color w:val="auto"/>
        </w:rPr>
        <w:t>FINRA.</w:t>
      </w:r>
    </w:p>
    <w:p>
      <w:pPr>
        <w:spacing w:after="0" w:line="210" w:lineRule="exact"/>
        <w:rPr>
          <w:rFonts w:ascii="Arial" w:cs="Arial" w:eastAsia="Arial" w:hAnsi="Arial"/>
          <w:sz w:val="16"/>
          <w:szCs w:val="16"/>
          <w:color w:val="auto"/>
        </w:rPr>
      </w:pPr>
    </w:p>
    <w:p>
      <w:pPr>
        <w:ind w:left="700" w:right="40" w:hanging="692"/>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revenue for the first three months of 2018 was $4.1 million, up 91% over the same period in 2017. The increase was driven by financial and brand messaging growth from new and returning clients, as well as expanded distribution channels.</w:t>
      </w:r>
    </w:p>
    <w:p>
      <w:pPr>
        <w:spacing w:after="0" w:line="170" w:lineRule="exact"/>
        <w:rPr>
          <w:rFonts w:ascii="Arial" w:cs="Arial" w:eastAsia="Arial" w:hAnsi="Arial"/>
          <w:sz w:val="18"/>
          <w:szCs w:val="18"/>
          <w:color w:val="auto"/>
        </w:rPr>
      </w:pPr>
    </w:p>
    <w:p>
      <w:pPr>
        <w:ind w:left="700" w:right="60" w:hanging="692"/>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continue to focus on adding additional brands for existing clients, providing new solutions, expanding the utilization of our network for existing brands, and obtaining new pharmaceutical manufacturer clients and advertising agencies.</w:t>
      </w:r>
    </w:p>
    <w:p>
      <w:pPr>
        <w:spacing w:after="0" w:line="170" w:lineRule="exact"/>
        <w:rPr>
          <w:rFonts w:ascii="Arial" w:cs="Arial" w:eastAsia="Arial" w:hAnsi="Arial"/>
          <w:sz w:val="18"/>
          <w:szCs w:val="18"/>
          <w:color w:val="auto"/>
        </w:rPr>
      </w:pPr>
    </w:p>
    <w:p>
      <w:pPr>
        <w:ind w:left="700" w:right="380" w:hanging="692"/>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expanded our board of directors, adding two new independent directors, Patrick Spanglar and Bryan Archambault, as well as established an audit committee to continue to improve our corporate governance.</w:t>
      </w:r>
    </w:p>
    <w:p>
      <w:pPr>
        <w:spacing w:after="0" w:line="174" w:lineRule="exact"/>
        <w:rPr>
          <w:rFonts w:ascii="Arial" w:cs="Arial" w:eastAsia="Arial" w:hAnsi="Arial"/>
          <w:sz w:val="18"/>
          <w:szCs w:val="18"/>
          <w:color w:val="auto"/>
        </w:rPr>
      </w:pPr>
    </w:p>
    <w:p>
      <w:pPr>
        <w:ind w:left="700" w:right="440" w:hanging="692"/>
        <w:spacing w:after="0" w:line="186" w:lineRule="auto"/>
        <w:tabs>
          <w:tab w:leader="none" w:pos="70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We presented at the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Noble Capital Markets Investment Conference and the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Roth Investor Conference to continue our investor outreach.</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in acquiring, integrating and expanding into new EHR/eRx platforms continues to grow as well. For the remainder of 2018, we expect to expand our reach to physicians, pharmacies and patients, and also increase the utilization of our existing partners as they improve their work flow and reach. With the growth of both our pharmaceutical products and our distribution network, we expect that our financial, brand, and clinical messaging will continue to increase and show strong growth throughout the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total net revenue reported for the three months ended March 31, 2018 was approximately $4.1 million, an increase of 91% over the approximately $2.2 million in the same period of 2017. The increase is primarily due to sales increases in our messaging products. We do not breakout revenue by service at this stage, but as we achieve greater scale we plan to determine the best way to present the growth by service. As described in greater detail in Note 2 to the financial statements, we adopted the new revenue standard during the quarter ended March 31, 2018. The effect of that, which was immaterial, was to decrease our revenue by approximately $118,000 during the quarter and that revenue will be recognized throughout the remainder of 2018.</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cost of sales percentage, composed primarily of revenue share expense, declined as a percentage of sales, from approximately 64% to approximately 49% even though our total cost of sales increased because of the significant revenue increase. Our revenue related to brand messaging has a higher cost associated with it than our financial messaging. We launched our brand messaging products in the first quarter of 2017 and had significantly higher costs during the launch period. Those costs continued to decrease as a percentage of sales throughout 2017 as our volume increased.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gross margin improved from 35.8% in the quarter ended March 31, 2017 to 51.2% in the quarter ended March 31, 2018. We are focused on improving our margins and are targeting a gross margin of at least 55% by the fourth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expenses increased from approximately $1.7 million for the three months ended March 31, 2017 to approximately $2.3 million for the same period in 2018, an increase of approximately 38%. The detail by major category is reflected in the table below.</w:t>
      </w:r>
    </w:p>
    <w:p>
      <w:pPr>
        <w:spacing w:after="0" w:line="170"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418"/>
        </w:trPr>
        <w:tc>
          <w:tcPr>
            <w:tcW w:w="622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2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1,219,297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779,278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497,122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129,444</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Professional Fees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63,026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132,214</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Board Compensation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25,250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Investor Relations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26,237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29,386</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Consultants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34,192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61,810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20,751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107,063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54,473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70,973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Development, Maintenance, and Integration Costs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222,374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195,839</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72,808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64,175</w:t>
            </w:r>
          </w:p>
        </w:tc>
        <w:tc>
          <w:tcPr>
            <w:tcW w:w="0" w:type="dxa"/>
            <w:vAlign w:val="bottom"/>
          </w:tcPr>
          <w:p>
            <w:pPr>
              <w:spacing w:after="0"/>
              <w:rPr>
                <w:sz w:val="1"/>
                <w:szCs w:val="1"/>
                <w:color w:val="auto"/>
              </w:rPr>
            </w:pPr>
          </w:p>
        </w:tc>
      </w:tr>
      <w:tr>
        <w:trPr>
          <w:trHeight w:val="244"/>
        </w:trPr>
        <w:tc>
          <w:tcPr>
            <w:tcW w:w="6220" w:type="dxa"/>
            <w:vAlign w:val="bottom"/>
          </w:tcPr>
          <w:p>
            <w:pPr>
              <w:spacing w:after="0"/>
              <w:rPr>
                <w:sz w:val="20"/>
                <w:szCs w:val="20"/>
                <w:color w:val="auto"/>
              </w:rPr>
            </w:pPr>
            <w:r>
              <w:rPr>
                <w:rFonts w:ascii="Arial" w:cs="Arial" w:eastAsia="Arial" w:hAnsi="Arial"/>
                <w:sz w:val="18"/>
                <w:szCs w:val="18"/>
                <w:color w:val="auto"/>
              </w:rPr>
              <w:t>Travel</w:t>
            </w:r>
          </w:p>
        </w:tc>
        <w:tc>
          <w:tcPr>
            <w:tcW w:w="2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68,813</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71,846</w:t>
            </w:r>
          </w:p>
        </w:tc>
        <w:tc>
          <w:tcPr>
            <w:tcW w:w="0" w:type="dxa"/>
            <w:vAlign w:val="bottom"/>
          </w:tcPr>
          <w:p>
            <w:pPr>
              <w:spacing w:after="0"/>
              <w:rPr>
                <w:sz w:val="1"/>
                <w:szCs w:val="1"/>
                <w:color w:val="auto"/>
              </w:rPr>
            </w:pPr>
          </w:p>
        </w:tc>
      </w:tr>
      <w:tr>
        <w:trPr>
          <w:trHeight w:val="27"/>
        </w:trPr>
        <w:tc>
          <w:tcPr>
            <w:tcW w:w="622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2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6220" w:type="dxa"/>
            <w:vAlign w:val="bottom"/>
            <w:vMerge w:val="continue"/>
          </w:tcPr>
          <w:p>
            <w:pPr>
              <w:spacing w:after="0"/>
              <w:rPr>
                <w:sz w:val="24"/>
                <w:szCs w:val="24"/>
                <w:color w:val="auto"/>
              </w:rPr>
            </w:pPr>
          </w:p>
        </w:tc>
        <w:tc>
          <w:tcPr>
            <w:tcW w:w="2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2,295,341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1,660,778</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largest increases in operating expenses related to salaries, wages, and benefits and other human resource related costs. Since the beginning of the first quarter of 2017, we have appointed a new president and two new vice presidents of Sales, as well as hired a new account manager and related administrative support. These new team members also resulted in increases in benefits and payroll taxes. We also implemented new incentive compensation plans for our sales force that increased their incentive compensation. In addition, all our incentive compensation is tied to revenue and the strong revenue growth in 2018 resulted in increased incentive compensation. The increased stock-based compensation results from the acceleration of vesting of previously granted options as well as the grant of options during the period related to achievement of performance-based goals. We expect stock-based compensation to decrease on a quarterly basis for the balance of the year.</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increase in development, maintenance, and integration costs reflects start-up costs related to the integration of new EHRs as well as increased capacity of our technology systems, which included a transition to Amazon Web Services during the quarter ended March 31, 2018. These investments are starting to show their value through increased revenue growth and our transition to a broader client base and greater scale.</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10" w:name="page11"/>
    <w:bookmarkEnd w:id="10"/>
    <w:p>
      <w:pPr>
        <w:jc w:val="both"/>
        <w:ind w:right="200"/>
        <w:spacing w:after="0" w:line="264" w:lineRule="auto"/>
        <w:rPr>
          <w:sz w:val="20"/>
          <w:szCs w:val="20"/>
          <w:color w:val="auto"/>
        </w:rPr>
      </w:pPr>
      <w:r>
        <w:rPr>
          <w:rFonts w:ascii="Arial" w:cs="Arial" w:eastAsia="Arial" w:hAnsi="Arial"/>
          <w:sz w:val="18"/>
          <w:szCs w:val="18"/>
          <w:color w:val="auto"/>
        </w:rPr>
        <w:t>Advertising and promotion decreased in 2018 because 2017 included several one-time costs and a conference that we sponsored in 2017 that did not occur during the first quarter of 2018. Professional fees decreased in 2018 because we settled our litigation in 2017 and no longer have any ongoing litigation. All other variances in the table above are the result of normal fluctuations in activity.</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expect our overall operating expenses to continue at the 2018 level, or slightly above as we further implement our business plan and expand our operations to grow the business in a very dynamic and active marketplace. However, we have established a strong team as a base to support growth and do not expect human resource costs to increase significantly, even with continued strong sales growth.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net loss for the three months ended March 31, 2018 was approximately $190,000, as compared to a loss of approximately $880,000 during the same period in 2017. The reasons and specific components associated with the decreased loss are discussed above. Overall, the decreased loss resulted from increased revenues and gross margin. We are focused on top-line growth, while managing our expenses, so we expect to see a continued, but managed, loss for the near future, but expect to achieve profitability on quarterly basis no later than the fourth quarter of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March 31, 2018, we had total current assets of approximately $8.3 million, compared with current liabilities of approximately $2.4 million, resulting in working capital of approximately $5.9 million and a current ratio of approximately 3.4 to 1, improved from the working capital of approximately $5.3 million and current ratio of 2.5 to 1 at December 31, 2017.</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operating activities used approximately $800,000 in cash flow during the three months ended March 31, 2018, compared with cash used of approximately $300,000 in the same period in 2017. The cash used in the 2017 period was the result of our net loss, partially offset by working capital management. The cash used in the 2018 period was the result of our net loss as well as cash used for working capital. The main use of cash in 2018 was as a result of the change in payment terms for one of our key partners, as well as payment of certain year end liabilities. This change in payment terms also had a favorable impact on our gross margin. We expect to have positive cash flow from operations for the balance of the year.</w:t>
      </w:r>
    </w:p>
    <w:p>
      <w:pPr>
        <w:spacing w:after="0" w:line="1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used insignificant amounts in investing activities in the three months ended March 31, 2018, and 2017. These investments related to purchases of equipment as well as investments related to the expansion of our network capabilities.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had no financing activities in either period. We did however, as discussed in Note 3, issue 300,000 shares valued at $447,000 in a non-cash transaction in payment of revenue share due under a comarketing agreement and the accompanying termination of the agreement.</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Subsequent to the end of the quarter, we signed an agreement to issue 5.0 million shares of our common stock for gross proceeds of $9.0 million and approximate net proceeds of $8.3 million. We expect the transaction to close in early May.</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With this additional funding, we do not anticipate the need to raise additional capital in the short or long term for operating purposes or to fund our growth plans. We are focused on growing our revenue, channel and partner network. However, as a company in a market that is active with merger and acquisition activity, we may have opportunities, such as for acquisitions or strategic partner relationships, which may require additional capital. We will assess these opportunities as they arise with the view of maximizing shareholder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2017; however, we consider our critical accounting policies to be those related to the amount of revenue to be billed, the timing of revenue recognition, calculation of revenue share expense, stock-based compensation, capitalization and related amortization of intangible assets, and impairment of assets.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As described in greater detail in Note 2, we adopted the new accounting standard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all of the related amendments, which had an immaterial impact on our financial statements.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The Company will adopt ASU 2016-02 in its first quarter of 2019. While the Company is currently evaluating the timing and impact of adopting ASU 2016-02, currently the Company anticipates no material impact to its Consolidated Statements of Operations. However, the ultimate impact of adopting ASU 2016-02 will depend on the Company’s lease portfolio as of the adoption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of the end of the period covered by this report (the “Evaluation Date”). Based upon this evaluation, our Chief Executive Officer and Chief Financial Officer concluded as of the Evaluation Date that our disclosure controls and procedures were effective such that the material information required to be included in our SEC reports is recorded, processed, summarized, and reported within the time periods specified in SEC rules and forms relating to the our company, including, our consolidated subsidiary, and was made known to them by others within those entities, particularly during the period when this report was being prepared.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2018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our company have been detected.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our Annual Report on Form 10-K for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March 2018, we issued 18,750 shares of common stock to our independent directors in connection with our Director Compensation Plan. We also issued 300,000 shares of common stock to a subsidiary of WPP, a shareholder of the Company, in payment of amounts due under a comarketing agreement.</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May2, 2018, we entered into a securities purchase agreement (the “Purchase Agreement”) with the purchasers identified on the signature pages thereto (the “Investors”), pursuant to which we sold to the Investors an aggregate of 5,000,000 shares (the “Shares”) of our common stock, par value $0.001 per share (“Common Stock”), for $1.80 per Share, or gross proceeds of $9,000,000 (the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of the Offering will be used for working capital purposes.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Purchase Agreement, we are required to complete our one-for-three reverse split of our outstanding and authorized common stock as promptly as possible. We further agreed to list our common stock with Nasdaq within 90 days of the close of the Offering and to ensure that our Board of Directors consists of at least five members, the majority of which shall be independent under Nasdaq standards. Our Nasdaq application was submitted in March 2018 and is in process and our Board as presently constituted meets those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Purchase Agreement contains representations, covenants and other provisions customary for the agreements of this nature.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connection with the Offering, on May 2, 2018, the Company entered into a registration rights agreement with the Investors (the “Registration Rights Agreement”), pursuant to which the Company agreed to register for resale the Shares acquired by the Investors in the Offering (the “Registrable Securities”). Pursuant to the Registration Rights Agreement, the Company agreed to use its reasonable best efforts to file a registration statement (the “Registration Statement”) with the Securities and Exchange Commission (the “SEC”) for the resale of the Registrable Securities within 30 days following the close of the Offering and to use its reasonable best efforts to cause the Registration Statement to be declared effective as soon as practicable after the filing thereof, but in any event no later than 90 days following the close of the Offering.</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event the Registration Statement, among other things, (i) has not been filed by 30 days following the close of the Offering or (ii) has not been declared effective by 90 days following the close of the Offering, then the Company has agreed to make payments to each Investor as liquidated damages in an amount equal to 1.5% of the aggregate amount invested by each such Investor per 30-day period, up to a maximum aggregate liquidated damages amount equal to 5% of the aggregate amount invested by each such Investor. In addition, the Company has agreed to keep the Registration Statement continuously effective until the earliest to occur of (i) the date on which all of the Registrable Securities registered thereunder have been sold and (ii) the date on which all of the Registrable Securities covered by the Registration Statement may be sold without restriction pursuant to Rule 144 under the Securities Act.</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Shares were offered and sold solely to accredited investors on a private placement basis under Section 4(a)(2) of the Securities Act of 1933, as amended, and Rule 506 promulgated thereunder.</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foregoing descriptions of the Purchase Agreement and the Registration Rights Agreement are qualified in their entirety by reference to the full text of the Purchase Agreement and the Registration Rights Agreement, copies of which are filed as Exhibits 10.1 and 10.2 hereto, respectively, and incorporated by reference herein.</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4" w:right="259" w:bottom="964"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Number Description of Exhibit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10060" w:type="dxa"/>
            <w:vAlign w:val="bottom"/>
            <w:tcBorders>
              <w:top w:val="single" w:sz="8" w:color="auto"/>
            </w:tcBorders>
            <w:gridSpan w:val="4"/>
          </w:tcPr>
          <w:p>
            <w:pPr>
              <w:spacing w:after="0" w:line="182" w:lineRule="exact"/>
              <w:rPr>
                <w:sz w:val="20"/>
                <w:szCs w:val="20"/>
                <w:color w:val="auto"/>
              </w:rPr>
            </w:pPr>
            <w:r>
              <w:rPr>
                <w:rFonts w:ascii="Arial" w:cs="Arial" w:eastAsia="Arial" w:hAnsi="Arial"/>
                <w:sz w:val="18"/>
                <w:szCs w:val="18"/>
                <w:color w:val="0000EE"/>
              </w:rPr>
              <w:t>Purchase Agreement dated May 2, 2018</w:t>
            </w: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c>
          <w:tcPr>
            <w:tcW w:w="36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Registration Rights Agreement dated May 2, 2018</w:t>
            </w:r>
          </w:p>
        </w:tc>
        <w:tc>
          <w:tcPr>
            <w:tcW w:w="6420" w:type="dxa"/>
            <w:vAlign w:val="bottom"/>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10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Certification of Chief Executive Officer pursuant to 18 U.S.C. Section 1350, as adopted pursuant to Section 302 of the Sarbanes-Oxley Act</w:t>
            </w: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of 2002</w:t>
            </w:r>
          </w:p>
        </w:tc>
        <w:tc>
          <w:tcPr>
            <w:tcW w:w="9500" w:type="dxa"/>
            <w:vAlign w:val="bottom"/>
            <w:gridSpan w:val="3"/>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10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Certification of Chief Financial Officer pursuant to 18 U.S.C. Section 1350, as adopted pursuant to Section 302 of the Sarbanes-Oxley Act</w:t>
            </w: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of 2002</w:t>
            </w:r>
          </w:p>
        </w:tc>
        <w:tc>
          <w:tcPr>
            <w:tcW w:w="9500" w:type="dxa"/>
            <w:vAlign w:val="bottom"/>
            <w:gridSpan w:val="3"/>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7"/>
                <w:szCs w:val="17"/>
                <w:color w:val="auto"/>
              </w:rPr>
            </w:pPr>
          </w:p>
        </w:tc>
        <w:tc>
          <w:tcPr>
            <w:tcW w:w="10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4"/>
              </w:rPr>
              <w:t>Certification of Chief Executive Officer and Chief Financial Officer pursuant to 18 U.S.C. Section 1350, as adopted pursuant to Section</w:t>
            </w: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60" w:type="dxa"/>
            <w:vAlign w:val="bottom"/>
            <w:gridSpan w:val="4"/>
          </w:tcPr>
          <w:p>
            <w:pPr>
              <w:spacing w:after="0" w:line="196" w:lineRule="exact"/>
              <w:rPr>
                <w:sz w:val="20"/>
                <w:szCs w:val="20"/>
                <w:color w:val="auto"/>
              </w:rPr>
            </w:pPr>
            <w:r>
              <w:rPr>
                <w:rFonts w:ascii="Arial" w:cs="Arial" w:eastAsia="Arial" w:hAnsi="Arial"/>
                <w:sz w:val="18"/>
                <w:szCs w:val="18"/>
                <w:color w:val="0000EE"/>
              </w:rPr>
              <w:t>906 of the Sarbanes-Oxley Act of 2002</w:t>
            </w: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7240" w:type="dxa"/>
            <w:vAlign w:val="bottom"/>
            <w:gridSpan w:val="2"/>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w w:val="99"/>
              </w:rPr>
              <w:t>The following materials from the Company’s Quarterly Report on Form 10-Q for the quarter ended March 31, 2018 formatted in</w:t>
            </w:r>
          </w:p>
        </w:tc>
      </w:tr>
    </w:tbl>
    <w:p>
      <w:pPr>
        <w:ind w:left="1360"/>
        <w:spacing w:after="0"/>
        <w:rPr>
          <w:sz w:val="20"/>
          <w:szCs w:val="20"/>
          <w:color w:val="auto"/>
        </w:rPr>
      </w:pPr>
      <w:r>
        <w:rPr>
          <w:rFonts w:ascii="Arial" w:cs="Arial" w:eastAsia="Arial" w:hAnsi="Arial"/>
          <w:sz w:val="18"/>
          <w:szCs w:val="18"/>
          <w:color w:val="auto"/>
        </w:rPr>
        <w:t>Extensible Business Reporting Language (XBRL).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Provided herewith</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20" w:type="dxa"/>
            <w:vAlign w:val="bottom"/>
            <w:gridSpan w:val="2"/>
          </w:tcPr>
          <w:p>
            <w:pPr>
              <w:ind w:left="68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Date: May 2, 2018</w:t>
            </w:r>
          </w:p>
        </w:tc>
        <w:tc>
          <w:tcPr>
            <w:tcW w:w="3980" w:type="dxa"/>
            <w:vAlign w:val="bottom"/>
          </w:tcPr>
          <w:p>
            <w:pPr>
              <w:spacing w:after="0"/>
              <w:rPr>
                <w:sz w:val="18"/>
                <w:szCs w:val="18"/>
                <w:color w:val="auto"/>
              </w:rPr>
            </w:pPr>
          </w:p>
        </w:tc>
      </w:tr>
      <w:tr>
        <w:trPr>
          <w:trHeight w:val="237"/>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440" w:type="dxa"/>
            <w:vAlign w:val="bottom"/>
          </w:tcPr>
          <w:p>
            <w:pPr>
              <w:spacing w:after="0"/>
              <w:rPr>
                <w:sz w:val="17"/>
                <w:szCs w:val="17"/>
                <w:color w:val="auto"/>
              </w:rPr>
            </w:pPr>
          </w:p>
        </w:tc>
        <w:tc>
          <w:tcPr>
            <w:tcW w:w="398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Principal Executive Officer, and Director</w:t>
            </w:r>
          </w:p>
        </w:tc>
      </w:tr>
      <w:tr>
        <w:trPr>
          <w:trHeight w:val="418"/>
        </w:trPr>
        <w:tc>
          <w:tcPr>
            <w:tcW w:w="11420" w:type="dxa"/>
            <w:vAlign w:val="bottom"/>
            <w:gridSpan w:val="2"/>
          </w:tcPr>
          <w:p>
            <w:pPr>
              <w:ind w:left="68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Date: May 2, 2018</w:t>
            </w:r>
          </w:p>
        </w:tc>
        <w:tc>
          <w:tcPr>
            <w:tcW w:w="3980" w:type="dxa"/>
            <w:vAlign w:val="bottom"/>
          </w:tcPr>
          <w:p>
            <w:pPr>
              <w:spacing w:after="0"/>
              <w:rPr>
                <w:sz w:val="18"/>
                <w:szCs w:val="18"/>
                <w:color w:val="auto"/>
              </w:rPr>
            </w:pPr>
          </w:p>
        </w:tc>
      </w:tr>
      <w:tr>
        <w:trPr>
          <w:trHeight w:val="237"/>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7440" w:type="dxa"/>
            <w:vAlign w:val="bottom"/>
          </w:tcPr>
          <w:p>
            <w:pPr>
              <w:spacing w:after="0"/>
              <w:rPr>
                <w:sz w:val="17"/>
                <w:szCs w:val="17"/>
                <w:color w:val="auto"/>
              </w:rPr>
            </w:pPr>
          </w:p>
        </w:tc>
        <w:tc>
          <w:tcPr>
            <w:tcW w:w="398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7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Principal Financial Officer and</w:t>
            </w:r>
          </w:p>
        </w:tc>
      </w:tr>
      <w:tr>
        <w:trPr>
          <w:trHeight w:val="234"/>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r>
        <w:trPr>
          <w:trHeight w:val="655"/>
        </w:trPr>
        <w:tc>
          <w:tcPr>
            <w:tcW w:w="744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8</w:t>
            </w: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 AGREEMENT</w:t>
      </w:r>
    </w:p>
    <w:p>
      <w:pPr>
        <w:spacing w:after="0" w:line="233" w:lineRule="exact"/>
        <w:rPr>
          <w:sz w:val="20"/>
          <w:szCs w:val="20"/>
          <w:color w:val="auto"/>
        </w:rPr>
      </w:pPr>
    </w:p>
    <w:p>
      <w:pPr>
        <w:ind w:right="580" w:firstLine="648"/>
        <w:spacing w:after="0"/>
        <w:rPr>
          <w:sz w:val="20"/>
          <w:szCs w:val="20"/>
          <w:color w:val="auto"/>
        </w:rPr>
      </w:pPr>
      <w:r>
        <w:rPr>
          <w:rFonts w:ascii="Arial" w:cs="Arial" w:eastAsia="Arial" w:hAnsi="Arial"/>
          <w:sz w:val="16"/>
          <w:szCs w:val="16"/>
          <w:color w:val="auto"/>
        </w:rPr>
        <w:t>THIS PURCHASE AGREEMENT (“Agreement”) is made as of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day of May, 2018 by and among OptimizeRx Corporation, a Nevada corporation (the “Company”), and the Investors set forth on the signature pages affixed hereto (each an “Investor” and collectively the “Investors”).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 The Company and the Investors are executing and delivering this Agreement in reliance upon the exemption from securities registration afforded by the provisions of Regulation D (“Regulation D”), as promulgated by the U.S. Securities and Exchange Commission (the “SEC”) under the Securities Act of 1933, as amended; and</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 The Investors wish to purchase, severally and not jointly, from the Company, and the Company wishes to sell and issue to the Investors, upon the terms and conditions stated in this Agreement, an aggregate of 5,000,000 shares (without giving effect to the Reverse Split) (the “Shares”) of the Company’s Common Stock, par value $0.001 per share (together with any securities into which such shares may be reclassified, whether by merger, charter amendment or otherwise, the “Common Stock”), at purchase price of $1.80 per Share (the “Per Share Price”), for an aggregate purchase price of Nine Million Dollars ($9,000,000) (the “Purchase Price”); and</w:t>
      </w:r>
    </w:p>
    <w:p>
      <w:pPr>
        <w:spacing w:after="0" w:line="18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 xml:space="preserve">C. Contemporaneous with the execution and delivery of this Agreement, the parties hereto are executing and delivering a Registration Rights Agreement,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“Registration Rights Agreement”), pursuant to which the Company will agree to provide certain registration rights under the Securities Act of 1933, as amended, and the rules and regulations promulgated thereunder, and applicable state securities laws.</w:t>
      </w:r>
    </w:p>
    <w:p>
      <w:pPr>
        <w:spacing w:after="0" w:line="14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D. Prior to the consummation of the transactions contemplated hereby, the Reverse Split (hereinafter defined) will have been approved by all necessary corporate action on the part of the Company and its stockholders.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consideration of the mutual promises made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right="280" w:firstLine="656"/>
        <w:spacing w:after="0" w:line="277" w:lineRule="auto"/>
        <w:tabs>
          <w:tab w:leader="none" w:pos="82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those terms defined above and elsewhere in this Agreement, for the purposes of this Agreement, the following terms shall have the meanings set forth below:</w:t>
      </w:r>
    </w:p>
    <w:p>
      <w:pPr>
        <w:spacing w:after="0" w:line="170" w:lineRule="exact"/>
        <w:rPr>
          <w:sz w:val="20"/>
          <w:szCs w:val="20"/>
          <w:color w:val="auto"/>
        </w:rPr>
      </w:pPr>
    </w:p>
    <w:p>
      <w:pPr>
        <w:ind w:right="280" w:firstLine="110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which directly or indirectly through one or more intermediaries Controls, is controlled by, or is under common Control with,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Lake Street Capital Markets LLC.</w:t>
      </w:r>
    </w:p>
    <w:p>
      <w:pPr>
        <w:spacing w:after="0" w:line="225" w:lineRule="exact"/>
        <w:rPr>
          <w:sz w:val="20"/>
          <w:szCs w:val="20"/>
          <w:color w:val="auto"/>
        </w:rPr>
      </w:pPr>
    </w:p>
    <w:p>
      <w:pPr>
        <w:ind w:right="620" w:firstLine="110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Related Persons</w:t>
      </w:r>
      <w:r>
        <w:rPr>
          <w:rFonts w:ascii="Arial" w:cs="Arial" w:eastAsia="Arial" w:hAnsi="Arial"/>
          <w:sz w:val="18"/>
          <w:szCs w:val="18"/>
          <w:color w:val="auto"/>
        </w:rPr>
        <w:t>” means any of the Agent’s directors, executive officers, general partners, managing members or other officers participating in the offering of the Shares.</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 day, other than a Saturday or Sunday, on which banks in New York City are open for the general transaction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jc w:val="both"/>
        <w:ind w:right="180" w:firstLine="110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means any securities of the Company or the Subsidiaries which would entitle the holder thereof to acquire at any time Common Stock, including without limitation, any debt, preferred stock, rights, options, warrants or other instrument that is at any time convertible into, exercisable or exchangeable for, or otherwise entitles the holder thereof to receive, Common Stock.</w:t>
      </w:r>
    </w:p>
    <w:p>
      <w:pPr>
        <w:spacing w:after="0" w:line="181" w:lineRule="exact"/>
        <w:rPr>
          <w:sz w:val="20"/>
          <w:szCs w:val="20"/>
          <w:color w:val="auto"/>
        </w:rPr>
      </w:pPr>
    </w:p>
    <w:p>
      <w:pPr>
        <w:ind w:right="120" w:firstLine="110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Knowledge</w:t>
      </w:r>
      <w:r>
        <w:rPr>
          <w:rFonts w:ascii="Arial" w:cs="Arial" w:eastAsia="Arial" w:hAnsi="Arial"/>
          <w:sz w:val="18"/>
          <w:szCs w:val="18"/>
          <w:color w:val="auto"/>
        </w:rPr>
        <w:t>” means the actual knowledge of the executive officers (as defined in Rule 405 under the 1933 Act) of the Company, after due inquiry.</w:t>
      </w:r>
    </w:p>
    <w:p>
      <w:pPr>
        <w:spacing w:after="0" w:line="170" w:lineRule="exact"/>
        <w:rPr>
          <w:sz w:val="20"/>
          <w:szCs w:val="20"/>
          <w:color w:val="auto"/>
        </w:rPr>
      </w:pPr>
    </w:p>
    <w:p>
      <w:pPr>
        <w:ind w:right="320" w:firstLine="110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trade secrets, confidential information and know-how (including but not limited to ideas, formulae, compositions, processes, procedures and techniques, research and development information, computer program code, performance specifications, support documentation, drawings, specifications, designs, business and marketing plans, and customer and supplier lists and related information).</w:t>
      </w:r>
    </w:p>
    <w:p>
      <w:pPr>
        <w:spacing w:after="0" w:line="166" w:lineRule="exact"/>
        <w:rPr>
          <w:sz w:val="20"/>
          <w:szCs w:val="20"/>
          <w:color w:val="auto"/>
        </w:rPr>
      </w:pPr>
    </w:p>
    <w:p>
      <w:pPr>
        <w:ind w:right="40" w:firstLine="110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the initial Registration Statement is declared effective by the SEC.</w:t>
      </w:r>
    </w:p>
    <w:p>
      <w:pPr>
        <w:spacing w:after="0" w:line="225" w:lineRule="exact"/>
        <w:rPr>
          <w:sz w:val="20"/>
          <w:szCs w:val="20"/>
          <w:color w:val="auto"/>
        </w:rPr>
      </w:pPr>
    </w:p>
    <w:p>
      <w:pPr>
        <w:ind w:right="100" w:firstLine="110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Deadline</w:t>
      </w:r>
      <w:r>
        <w:rPr>
          <w:rFonts w:ascii="Arial" w:cs="Arial" w:eastAsia="Arial" w:hAnsi="Arial"/>
          <w:sz w:val="18"/>
          <w:szCs w:val="18"/>
          <w:color w:val="auto"/>
        </w:rPr>
        <w:t>” means the date on which the initial Registration Statement is required to be declared effective by the SEC under the terms of the Registration Rights Agreement.</w:t>
      </w:r>
    </w:p>
    <w:p>
      <w:pPr>
        <w:spacing w:after="0" w:line="170" w:lineRule="exact"/>
        <w:rPr>
          <w:sz w:val="20"/>
          <w:szCs w:val="20"/>
          <w:color w:val="auto"/>
        </w:rPr>
      </w:pPr>
    </w:p>
    <w:p>
      <w:pPr>
        <w:ind w:right="40" w:firstLine="110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w:t>
      </w:r>
      <w:r>
        <w:rPr>
          <w:rFonts w:ascii="Arial" w:cs="Arial" w:eastAsia="Arial" w:hAnsi="Arial"/>
          <w:sz w:val="18"/>
          <w:szCs w:val="18"/>
          <w:color w:val="auto"/>
        </w:rPr>
        <w:t>” means each director or executive officer of the Company, any other officer of the Company participating in the offering, any beneficial owner of 20% or more of the Company’s outstanding voting equity securities, calculated on the basis of voting power, and any promoter connected with the Company in any capacity on the date hereof.</w:t>
      </w:r>
    </w:p>
    <w:p>
      <w:pPr>
        <w:spacing w:after="0" w:line="181" w:lineRule="exact"/>
        <w:rPr>
          <w:sz w:val="20"/>
          <w:szCs w:val="20"/>
          <w:color w:val="auto"/>
        </w:rPr>
      </w:pPr>
    </w:p>
    <w:p>
      <w:pPr>
        <w:jc w:val="both"/>
        <w:ind w:firstLine="1102"/>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of the following: (i) patents, patent applications, patent disclosures and inventions (whether or not patentable and whether or not reduced to practice); (ii) trademarks, service marks, trade dress, trade names, corporate names, logos, slogans and Internet domain names, together with all goodwill associated with each of the foregoing; (iii) copyrights and copyrightable works; (iv) registrations, applications and renewals for any of the foregoing; and (v) proprietary computer software (including but not limited to data, data bases and documentation).</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ind w:right="40" w:firstLine="110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(i) the assets, liabilities, results of operations, condition (financial or otherwise), business, or prospects of the Company and its Subsidiaries taken as a whole, or (ii) the ability of the Company to perform its obligations under the Transaction Documents.</w:t>
      </w:r>
    </w:p>
    <w:p>
      <w:pPr>
        <w:spacing w:after="0" w:line="181" w:lineRule="exact"/>
        <w:rPr>
          <w:sz w:val="20"/>
          <w:szCs w:val="20"/>
          <w:color w:val="auto"/>
        </w:rPr>
      </w:pPr>
    </w:p>
    <w:p>
      <w:pPr>
        <w:jc w:val="both"/>
        <w:ind w:right="140" w:firstLine="110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any contract, instrument or other agreement to which the Company or any Subsidiary is a party or by which it is bound which is material to the business of the Company and its Subsidiaries, taken as a whole, including those that have been filed or were required to have been filed as an exhibit to the SEC Filings pursuant to Item 601(b)(4) or Item 601(b)(10) of Regulation S-K.</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5" w:lineRule="exact"/>
        <w:rPr>
          <w:sz w:val="20"/>
          <w:szCs w:val="20"/>
          <w:color w:val="auto"/>
        </w:rPr>
      </w:pPr>
    </w:p>
    <w:p>
      <w:pPr>
        <w:ind w:right="80" w:firstLine="110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right="180" w:firstLine="110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Investors</w:t>
      </w:r>
      <w:r>
        <w:rPr>
          <w:rFonts w:ascii="Arial" w:cs="Arial" w:eastAsia="Arial" w:hAnsi="Arial"/>
          <w:sz w:val="18"/>
          <w:szCs w:val="18"/>
          <w:color w:val="auto"/>
        </w:rPr>
        <w:t>” means (i) prior to Closing the Investors who, together with their Affiliates, have agreed to purchase a majority of the Shares to be purchased by the Investors hereunder and (ii) from and after the Closing the Investors beneficially owning (calculated in accordance with Rule 13d-3 under the 1934 Act) a majority of the Shares.</w:t>
      </w:r>
    </w:p>
    <w:p>
      <w:pPr>
        <w:spacing w:after="0" w:line="181" w:lineRule="exact"/>
        <w:rPr>
          <w:sz w:val="20"/>
          <w:szCs w:val="20"/>
          <w:color w:val="auto"/>
        </w:rPr>
      </w:pPr>
    </w:p>
    <w:p>
      <w:pPr>
        <w:ind w:right="40" w:firstLine="110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Reverse Split</w:t>
      </w:r>
      <w:r>
        <w:rPr>
          <w:rFonts w:ascii="Arial" w:cs="Arial" w:eastAsia="Arial" w:hAnsi="Arial"/>
          <w:sz w:val="18"/>
          <w:szCs w:val="18"/>
          <w:color w:val="auto"/>
        </w:rPr>
        <w:t>” means a reverse split of the outstanding shares of Common Stock at a ratio of between one-for-three and one-for-3.5 (as determined by the Board of Directors of the Company and disclosed to the Investors orally prior to the execution and delivery of this Agreement) which does not reduce the number of shares of Common Stock that the Company is authorized to issue.</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Filings</w:t>
      </w:r>
      <w:r>
        <w:rPr>
          <w:rFonts w:ascii="Arial" w:cs="Arial" w:eastAsia="Arial" w:hAnsi="Arial"/>
          <w:sz w:val="18"/>
          <w:szCs w:val="18"/>
          <w:color w:val="auto"/>
        </w:rPr>
        <w:t>” has the meaning set forth in Section 4.6.</w:t>
      </w:r>
    </w:p>
    <w:p>
      <w:pPr>
        <w:spacing w:after="0" w:line="225" w:lineRule="exact"/>
        <w:rPr>
          <w:sz w:val="20"/>
          <w:szCs w:val="20"/>
          <w:color w:val="auto"/>
        </w:rPr>
      </w:pPr>
    </w:p>
    <w:p>
      <w:pPr>
        <w:ind w:firstLine="110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another Person, an amount of the voting securities, other voting ownership or voting partnership interests of which is sufficient to elect at least a majority of its Board of Directors or other governing body (or, if there are no such voting interests, 50% or more of the equity interests of which) is owned directly or indirectly by such first Person.</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Nasdaq is open for trading.</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8" w:name="page19"/>
    <w:bookmarkEnd w:id="18"/>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and the Registration Rights Agreement.</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means the Securities Act of 1933, as amended, or any successor statute, and the rules and regulations promulgated thereunder.</w:t>
      </w:r>
    </w:p>
    <w:p>
      <w:pPr>
        <w:spacing w:after="0" w:line="24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1934 Act</w:t>
      </w:r>
      <w:r>
        <w:rPr>
          <w:rFonts w:ascii="Arial" w:cs="Arial" w:eastAsia="Arial" w:hAnsi="Arial"/>
          <w:sz w:val="16"/>
          <w:szCs w:val="16"/>
          <w:color w:val="auto"/>
        </w:rPr>
        <w:t>” means the Securities Exchange Act of 1934, as amended, or any successor statute, and the rules and regulations promulgated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right="60" w:firstLine="656"/>
        <w:spacing w:after="0" w:line="264" w:lineRule="auto"/>
        <w:tabs>
          <w:tab w:leader="none" w:pos="82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Shares</w:t>
      </w:r>
      <w:r>
        <w:rPr>
          <w:rFonts w:ascii="Arial" w:cs="Arial" w:eastAsia="Arial" w:hAnsi="Arial"/>
          <w:sz w:val="18"/>
          <w:szCs w:val="18"/>
          <w:color w:val="auto"/>
        </w:rPr>
        <w:t>. Subject to the terms and conditions of this Agreement, on the Closing Date, each of the Investors shall severally, and not jointly, purchase, and the Company shall sell and issue to the Investors, the Shares in the respective amounts set forth opposite the Investors’ names on the signature pages attached hereto in exchange for the Purchase Price as specified in Section 3 below.</w:t>
      </w:r>
    </w:p>
    <w:p>
      <w:pPr>
        <w:spacing w:after="0" w:line="181" w:lineRule="exact"/>
        <w:rPr>
          <w:rFonts w:ascii="Arial" w:cs="Arial" w:eastAsia="Arial" w:hAnsi="Arial"/>
          <w:sz w:val="18"/>
          <w:szCs w:val="18"/>
          <w:color w:val="auto"/>
        </w:rPr>
      </w:pPr>
    </w:p>
    <w:p>
      <w:pPr>
        <w:ind w:right="120" w:firstLine="656"/>
        <w:spacing w:after="0" w:line="269" w:lineRule="auto"/>
        <w:tabs>
          <w:tab w:leader="none" w:pos="828"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Unless other arrangements have been made with a particular Investor, upon confirmation that the other conditions to closing specified herein have been satisfied or duly waived by the Investors, the Company shall deliver to Lowenstein Sandler LLP, in trust, a certificate or certificates, registered in such name or names as the Investors may designate, representing the Shares, with instructions that such certificates are to be held for release to the Investors only upon payment in full of the Purchase Price to the Company by all the Investors. Unless other arrangements have been made with a particular Investor, upon such receipt by Lowenstein Sandler LLP of the certificates, each Investor shall promptly, but no more than one Business Day thereafter, cause a wire transfer in same day funds to be sent to the account of the Company as instructed in writing by the Company, in an amount representing the portion of the Purchase Price payable in respect of the Shares to be purchased by such Investor, as set forth on the signature pages to this Agreement. On the date (the “Closing Date”) that the Company receives the Purchase Price in full, the certificates evidencing the Shares shall be released to the Investors (the “Closing”). The Closing of the purchase and sale of the Shares shall take place at the offices of Lowenstein Sandler LLP, 1251 Avenue of the Americas, 18th Floor, New York, New York 10020, or at such other location and on such other date as the Company and the Investors shall mutually agree.</w:t>
      </w:r>
    </w:p>
    <w:p>
      <w:pPr>
        <w:spacing w:after="0" w:line="182" w:lineRule="exact"/>
        <w:rPr>
          <w:rFonts w:ascii="Arial" w:cs="Arial" w:eastAsia="Arial" w:hAnsi="Arial"/>
          <w:sz w:val="17"/>
          <w:szCs w:val="17"/>
          <w:color w:val="auto"/>
        </w:rPr>
      </w:pPr>
    </w:p>
    <w:p>
      <w:pPr>
        <w:ind w:right="360" w:firstLine="656"/>
        <w:spacing w:after="0" w:line="277" w:lineRule="auto"/>
        <w:tabs>
          <w:tab w:leader="none" w:pos="82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the Investors that, except as set forth in the schedules delivered herewith (collectively, the “Disclosure Schedules”):</w:t>
      </w:r>
    </w:p>
    <w:p>
      <w:pPr>
        <w:spacing w:after="0" w:line="170" w:lineRule="exact"/>
        <w:rPr>
          <w:rFonts w:ascii="Arial" w:cs="Arial" w:eastAsia="Arial" w:hAnsi="Arial"/>
          <w:sz w:val="18"/>
          <w:szCs w:val="18"/>
          <w:color w:val="auto"/>
        </w:rPr>
      </w:pPr>
    </w:p>
    <w:p>
      <w:pPr>
        <w:ind w:firstLine="1110"/>
        <w:spacing w:after="0" w:line="255" w:lineRule="auto"/>
        <w:tabs>
          <w:tab w:leader="none" w:pos="1282"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Organization, Good Standing and Qualification</w:t>
      </w:r>
      <w:r>
        <w:rPr>
          <w:rFonts w:ascii="Arial" w:cs="Arial" w:eastAsia="Arial" w:hAnsi="Arial"/>
          <w:sz w:val="18"/>
          <w:szCs w:val="18"/>
          <w:color w:val="auto"/>
        </w:rPr>
        <w:t xml:space="preserve">. Each of the Company and its Subsidiaries is a corporation duly organized, validly existing and in good standing under the laws of the jurisdiction of its incorporation and has all requisite corporate power and authority to carry on its business as now conducted and to own or lease its properties. Each of the Company and its Subsidiaries is duly qualified to do business as a foreign corporation and is in good standing in each jurisdiction in which the conduct of its business or its ownership or leasing of property makes such qualification or leasing necessary unless the failure to so qualify or to be in good standing has not had and could not reasonably be expected to have a Material Adverse Effect. The Company’s Subsidiaries are listed on </w:t>
      </w:r>
      <w:r>
        <w:rPr>
          <w:rFonts w:ascii="Arial" w:cs="Arial" w:eastAsia="Arial" w:hAnsi="Arial"/>
          <w:sz w:val="18"/>
          <w:szCs w:val="18"/>
          <w:u w:val="single" w:color="auto"/>
          <w:color w:val="auto"/>
        </w:rPr>
        <w:t>Schedule 4.1</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9" w:name="page20"/>
    <w:bookmarkEnd w:id="19"/>
    <w:p>
      <w:pPr>
        <w:ind w:right="220" w:firstLine="1102"/>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Authorization</w:t>
      </w:r>
      <w:r>
        <w:rPr>
          <w:rFonts w:ascii="Arial" w:cs="Arial" w:eastAsia="Arial" w:hAnsi="Arial"/>
          <w:sz w:val="17"/>
          <w:szCs w:val="17"/>
          <w:color w:val="auto"/>
        </w:rPr>
        <w:t>. The Company has full power and authority and, subject to the filing of a Certificate of Amendment to the Company’s Articles of Incorporation with the Secretary of State of Nevada to effect the Reverse Split, has taken all requisite action on the part of the Company, its officers, directors and stockholders necessary for (i) the authorization, execution and delivery of the Transaction Documents, (ii) the authorization of the performance of all obligations of the Company hereunder or thereunder, (iii) the authorization, issuance (or reservation for issuance) and delivery of the Shares, and (iv) the consummation of the Reverse Split The Transaction Documents constitute, or upon the execution and delivery thereof by the Company will constitute, the legal, valid and binding obligations of the Company, enforceable against the Company in accordance with their terms, subject to bankruptcy, insolvency, fraudulent transfer, reorganization, moratorium and similar laws of general applicability, relating to or affecting creditors’ rights generally and to general equitable principles.</w:t>
      </w:r>
    </w:p>
    <w:p>
      <w:pPr>
        <w:spacing w:after="0" w:line="179" w:lineRule="exact"/>
        <w:rPr>
          <w:sz w:val="20"/>
          <w:szCs w:val="20"/>
          <w:color w:val="auto"/>
        </w:rPr>
      </w:pPr>
    </w:p>
    <w:p>
      <w:pPr>
        <w:ind w:firstLine="1102"/>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4.3</w:t>
      </w:r>
      <w:r>
        <w:rPr>
          <w:rFonts w:ascii="Arial" w:cs="Arial" w:eastAsia="Arial" w:hAnsi="Arial"/>
          <w:sz w:val="17"/>
          <w:szCs w:val="17"/>
          <w:color w:val="auto"/>
        </w:rPr>
        <w:t xml:space="preserve"> sets forth as of the date hereof: (a) the authorized capital stock of the Company; (b) the number of shares of capital stock issued and outstanding; (c) the number of shares of capital stock issuable pursuant to the Company’s stock plans; and (d) the number of shares of capital stock issuable and reserved for issuance pursuant to securities (other than the Shares) exercisable for, or convertible into or exchangeable for any shares of capital stock of the Company. All of the issued and outstanding shares of the Company’s capital stock have been duly authorized and validly issued and are fully paid, nonassessable and free of pre-emptive rights and were issued in full compliance with applicable state and federal securities law and any rights of third parties. All of the issued and outstanding shares of capital stock of each Subsidiary have been duly authorized and validly issued and are fully paid, nonassessable and free of pre-emptive rights, were issued in full compliance with applicable state and federal securities law and any rights of third parties and are owned by the Company, beneficially and of record, subject to no lien, encumbrance or other adverse claim. No Person is entitled to pre-emptive or similar statutory or contractual rights with respect to any securities of the Company. Except as described on </w:t>
      </w:r>
      <w:r>
        <w:rPr>
          <w:rFonts w:ascii="Arial" w:cs="Arial" w:eastAsia="Arial" w:hAnsi="Arial"/>
          <w:sz w:val="17"/>
          <w:szCs w:val="17"/>
          <w:u w:val="single" w:color="auto"/>
          <w:color w:val="auto"/>
        </w:rPr>
        <w:t>Schedule 4.3</w:t>
      </w:r>
      <w:r>
        <w:rPr>
          <w:rFonts w:ascii="Arial" w:cs="Arial" w:eastAsia="Arial" w:hAnsi="Arial"/>
          <w:sz w:val="17"/>
          <w:szCs w:val="17"/>
          <w:color w:val="auto"/>
        </w:rPr>
        <w:t xml:space="preserve">, there are no outstanding warrants, options, convertible securities or other rights, agreements or arrangements of any character under which the Company or any of its Subsidiaries is or may be obligated to issue any equity securities of any kind and except as contemplated by this Agreement, neither the Company nor any of its Subsidiaries is currently in negotiations for the issuance of any equity securities of any kind. Except as described on </w:t>
      </w:r>
      <w:r>
        <w:rPr>
          <w:rFonts w:ascii="Arial" w:cs="Arial" w:eastAsia="Arial" w:hAnsi="Arial"/>
          <w:sz w:val="17"/>
          <w:szCs w:val="17"/>
          <w:u w:val="single" w:color="auto"/>
          <w:color w:val="auto"/>
        </w:rPr>
        <w:t>Schedule 4.3</w:t>
      </w:r>
      <w:r>
        <w:rPr>
          <w:rFonts w:ascii="Arial" w:cs="Arial" w:eastAsia="Arial" w:hAnsi="Arial"/>
          <w:sz w:val="17"/>
          <w:szCs w:val="17"/>
          <w:color w:val="auto"/>
        </w:rPr>
        <w:t xml:space="preserve"> and except for the Registration Rights Agreement, there are no voting agreements, buy-sell agreements, option or right of first purchase agreements or other agreements of any kind by and among the Company and any of the securityholders of the Company relating to the securities of the Company held by them. Except as described on </w:t>
      </w:r>
      <w:r>
        <w:rPr>
          <w:rFonts w:ascii="Arial" w:cs="Arial" w:eastAsia="Arial" w:hAnsi="Arial"/>
          <w:sz w:val="17"/>
          <w:szCs w:val="17"/>
          <w:u w:val="single" w:color="auto"/>
          <w:color w:val="auto"/>
        </w:rPr>
        <w:t>Schedule 4.3</w:t>
      </w:r>
      <w:r>
        <w:rPr>
          <w:rFonts w:ascii="Arial" w:cs="Arial" w:eastAsia="Arial" w:hAnsi="Arial"/>
          <w:sz w:val="17"/>
          <w:szCs w:val="17"/>
          <w:color w:val="auto"/>
        </w:rPr>
        <w:t xml:space="preserve"> and except as provided in the Registration Rights Agreement, no Person has the right to require the Company to register any securities of the Company under the 1933 Act, whether on a demand basis or in connection with the registration of securities of the Company for its own account or for the account of any other Person.</w:t>
      </w:r>
    </w:p>
    <w:p>
      <w:pPr>
        <w:spacing w:after="0" w:line="193" w:lineRule="exact"/>
        <w:rPr>
          <w:sz w:val="20"/>
          <w:szCs w:val="20"/>
          <w:color w:val="auto"/>
        </w:rPr>
      </w:pPr>
    </w:p>
    <w:p>
      <w:pPr>
        <w:ind w:right="60" w:firstLine="1102"/>
        <w:spacing w:after="0" w:line="342" w:lineRule="auto"/>
        <w:rPr>
          <w:sz w:val="20"/>
          <w:szCs w:val="20"/>
          <w:color w:val="auto"/>
        </w:rPr>
      </w:pPr>
      <w:r>
        <w:rPr>
          <w:rFonts w:ascii="Arial" w:cs="Arial" w:eastAsia="Arial" w:hAnsi="Arial"/>
          <w:sz w:val="16"/>
          <w:szCs w:val="16"/>
          <w:color w:val="auto"/>
        </w:rPr>
        <w:t>The issuance and sale of the Shares hereunder will not obligate the Company to issue shares of Common Stock or other securities to any other Person (other than the Investors) and will not result in the adjustment of the exercise, conversion, exchange or reset price of any outstanding security.</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0" w:name="page21"/>
    <w:bookmarkEnd w:id="20"/>
    <w:p>
      <w:pPr>
        <w:ind w:right="180" w:firstLine="1102"/>
        <w:spacing w:after="0" w:line="277" w:lineRule="auto"/>
        <w:rPr>
          <w:sz w:val="20"/>
          <w:szCs w:val="20"/>
          <w:color w:val="auto"/>
        </w:rPr>
      </w:pPr>
      <w:r>
        <w:rPr>
          <w:rFonts w:ascii="Arial" w:cs="Arial" w:eastAsia="Arial" w:hAnsi="Arial"/>
          <w:sz w:val="18"/>
          <w:szCs w:val="18"/>
          <w:color w:val="auto"/>
        </w:rPr>
        <w:t>The Company does not have outstanding stockholder purchase rights or “poison pill” or any similar arrangement in effect giving any Person the right to purchase any equity interest in the Company upon the occurrence of certain events.</w:t>
      </w:r>
    </w:p>
    <w:p>
      <w:pPr>
        <w:spacing w:after="0" w:line="170" w:lineRule="exact"/>
        <w:rPr>
          <w:sz w:val="20"/>
          <w:szCs w:val="20"/>
          <w:color w:val="auto"/>
        </w:rPr>
      </w:pPr>
    </w:p>
    <w:p>
      <w:pPr>
        <w:ind w:firstLine="1102"/>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Valid Issuance</w:t>
      </w:r>
      <w:r>
        <w:rPr>
          <w:rFonts w:ascii="Arial" w:cs="Arial" w:eastAsia="Arial" w:hAnsi="Arial"/>
          <w:sz w:val="18"/>
          <w:szCs w:val="18"/>
          <w:color w:val="auto"/>
        </w:rPr>
        <w:t>. The Shares have been duly and validly authorized and, when issued and paid for pursuant to this Agreement, will be validly issued, fully paid and nonassessable, and shall be free and clear of all encumbrances and restrictions (other than those created by the Investors), except for restrictions on transfer set forth in the Transaction Documents or imposed by applicable securities laws.</w:t>
      </w:r>
    </w:p>
    <w:p>
      <w:pPr>
        <w:spacing w:after="0" w:line="181" w:lineRule="exact"/>
        <w:rPr>
          <w:sz w:val="20"/>
          <w:szCs w:val="20"/>
          <w:color w:val="auto"/>
        </w:rPr>
      </w:pPr>
    </w:p>
    <w:p>
      <w:pPr>
        <w:ind w:firstLine="1102"/>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Consents</w:t>
      </w:r>
      <w:r>
        <w:rPr>
          <w:rFonts w:ascii="Arial" w:cs="Arial" w:eastAsia="Arial" w:hAnsi="Arial"/>
          <w:sz w:val="16"/>
          <w:szCs w:val="16"/>
          <w:color w:val="auto"/>
        </w:rPr>
        <w:t>. Except for the filing of a Certificate of Amendment to the Company’s Articles of Incorporation with the Secretary of State of Nevada to effect the Reverse Split, the execution, delivery and performance by the Company of the Transaction Documents, the offer, issuance and sale of the Shares and the effectuation of the Reverse Split require no consent of, action by or in respect of, or filing with, any Person, governmental body, agency, or official other than filings that have been made pursuant to applicable state securities laws and post-sale filings pursuant to applicable state and federal securities laws which the Company undertakes to file within the applicable time periods. Subject to the accuracy of the representations and warranties of each Investor set forth in Section 5 hereof, the Company has taken all action necessary to exempt (i) the issuance and sale of the Shares, and (ii) the other transactions contemplated by the Transaction Documents from the provisions of any stockholder rights plan or other “poison pill” arrangement, any anti-takeover, business combination or control share law or statute binding on the Company or to which the Company or any of its assets and properties may be subject and any provision of the Company’s Articles of Incorporation or Bylaws that is or could reasonably be expected to become applicable to the Investors as a result of the transactions contemplated hereby, including without limitation, the issuance of the Shares and the ownership, disposition or voting of the Shares by the Investors or the exercise of any right granted to the Investors pursuant to this Agreement or the other Transaction Documents.</w:t>
      </w:r>
    </w:p>
    <w:p>
      <w:pPr>
        <w:spacing w:after="0" w:line="173" w:lineRule="exact"/>
        <w:rPr>
          <w:sz w:val="20"/>
          <w:szCs w:val="20"/>
          <w:color w:val="auto"/>
        </w:rPr>
      </w:pPr>
    </w:p>
    <w:p>
      <w:pPr>
        <w:ind w:firstLine="1102"/>
        <w:spacing w:after="0" w:line="291"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Delivery of SEC Filings; Business</w:t>
      </w:r>
      <w:r>
        <w:rPr>
          <w:rFonts w:ascii="Arial" w:cs="Arial" w:eastAsia="Arial" w:hAnsi="Arial"/>
          <w:sz w:val="16"/>
          <w:szCs w:val="16"/>
          <w:color w:val="auto"/>
        </w:rPr>
        <w:t>. The Company has made available to the Investors through the EDGAR system, true and complete copies of the Company’s most recent Annual Report on Form 10-K for the fiscal year ended December 31, 2017 (the “10-K”), and all other reports filed by the Company pursuant to the 1934 Act since January 1, 2014 and prior to the date hereof (collectively, the “SEC Filings”). The SEC Filings are the only filings required of the Company pursuant to the 1934 Act for such period. The Company and its Subsidiaries are engaged in all material respects only in the business described in the SEC Filings and the SEC Filings contain a complete and accurate description in all material respects of the business of the Company and its Subsidiaries, taken as a whole. Since the filing of each of the SEC Filings, no event has occurred that could reasonably be expected to require an amendment or supplement to any such SEC Filing and as to which such an amendment or supplement has not been filed prior to the date hereof.</w:t>
      </w:r>
    </w:p>
    <w:p>
      <w:pPr>
        <w:spacing w:after="0" w:line="167" w:lineRule="exact"/>
        <w:rPr>
          <w:sz w:val="20"/>
          <w:szCs w:val="20"/>
          <w:color w:val="auto"/>
        </w:rPr>
      </w:pPr>
    </w:p>
    <w:p>
      <w:pPr>
        <w:ind w:right="480" w:firstLine="1102"/>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net proceeds of the sale of the Shares hereunder shall be used by the Company for working capital and general corporate purposes.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1" w:name="page22"/>
    <w:bookmarkEnd w:id="21"/>
    <w:p>
      <w:pPr>
        <w:ind w:right="220" w:firstLine="1102"/>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xml:space="preserve">. Since December 31, 2017, except for the Reverse Split and except as identified and described in the SEC Filings or as described on </w:t>
      </w:r>
      <w:r>
        <w:rPr>
          <w:rFonts w:ascii="Arial" w:cs="Arial" w:eastAsia="Arial" w:hAnsi="Arial"/>
          <w:sz w:val="18"/>
          <w:szCs w:val="18"/>
          <w:u w:val="single" w:color="auto"/>
          <w:color w:val="auto"/>
        </w:rPr>
        <w:t>Schedule 4.8</w:t>
      </w:r>
      <w:r>
        <w:rPr>
          <w:rFonts w:ascii="Arial" w:cs="Arial" w:eastAsia="Arial" w:hAnsi="Arial"/>
          <w:sz w:val="18"/>
          <w:szCs w:val="18"/>
          <w:color w:val="auto"/>
        </w:rPr>
        <w:t>, there has not been:</w:t>
      </w:r>
    </w:p>
    <w:p>
      <w:pPr>
        <w:spacing w:after="0" w:line="170" w:lineRule="exact"/>
        <w:rPr>
          <w:sz w:val="20"/>
          <w:szCs w:val="20"/>
          <w:color w:val="auto"/>
        </w:rPr>
      </w:pPr>
    </w:p>
    <w:p>
      <w:pPr>
        <w:ind w:right="100" w:firstLine="1499"/>
        <w:spacing w:after="0" w:line="264" w:lineRule="auto"/>
        <w:tabs>
          <w:tab w:leader="none" w:pos="1706"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change in the consolidated assets, liabilities, financial condition or operating results of the Company from that reflected in the financial statements included in the 10-K, except for changes in the ordinary course of business which have not had and could not reasonably be expected to have a Material Adverse Effect, individually or in the aggregate;</w:t>
      </w:r>
    </w:p>
    <w:p>
      <w:pPr>
        <w:spacing w:after="0" w:line="181" w:lineRule="exact"/>
        <w:rPr>
          <w:rFonts w:ascii="Arial" w:cs="Arial" w:eastAsia="Arial" w:hAnsi="Arial"/>
          <w:sz w:val="18"/>
          <w:szCs w:val="18"/>
          <w:color w:val="auto"/>
        </w:rPr>
      </w:pPr>
    </w:p>
    <w:p>
      <w:pPr>
        <w:ind w:right="240" w:firstLine="1499"/>
        <w:spacing w:after="0" w:line="277" w:lineRule="auto"/>
        <w:tabs>
          <w:tab w:leader="none" w:pos="1756"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declaration or payment of any dividend, or any authorization or payment of any distribution, on any of the capital stock of the Company, or any redemption or repurchase of any securities of the Company;</w:t>
      </w:r>
    </w:p>
    <w:p>
      <w:pPr>
        <w:spacing w:after="0" w:line="170" w:lineRule="exact"/>
        <w:rPr>
          <w:rFonts w:ascii="Arial" w:cs="Arial" w:eastAsia="Arial" w:hAnsi="Arial"/>
          <w:sz w:val="18"/>
          <w:szCs w:val="18"/>
          <w:color w:val="auto"/>
        </w:rPr>
      </w:pPr>
    </w:p>
    <w:p>
      <w:pPr>
        <w:ind w:left="1820" w:hanging="321"/>
        <w:spacing w:after="0"/>
        <w:tabs>
          <w:tab w:leader="none" w:pos="1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material damage, destruction or loss, whether or not covered by insurance to any assets or properties of the Company or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auto"/>
        </w:rPr>
      </w:pPr>
    </w:p>
    <w:p>
      <w:pPr>
        <w:ind w:left="1800" w:hanging="301"/>
        <w:spacing w:after="0"/>
        <w:tabs>
          <w:tab w:leader="none" w:pos="1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waiver, not in the ordinary course of business, by the Company or any Subsidiary of a material right or of a material debt owed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it;</w:t>
      </w:r>
    </w:p>
    <w:p>
      <w:pPr>
        <w:spacing w:after="0" w:line="210" w:lineRule="exact"/>
        <w:rPr>
          <w:rFonts w:ascii="Arial" w:cs="Arial" w:eastAsia="Arial" w:hAnsi="Arial"/>
          <w:sz w:val="16"/>
          <w:szCs w:val="16"/>
          <w:color w:val="auto"/>
        </w:rPr>
      </w:pPr>
    </w:p>
    <w:p>
      <w:pPr>
        <w:jc w:val="both"/>
        <w:ind w:firstLine="1499"/>
        <w:spacing w:after="0" w:line="286" w:lineRule="auto"/>
        <w:tabs>
          <w:tab w:leader="none" w:pos="1746"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satisfaction or discharge of any lien, claim or encumbrance or payment of any obligation by the Company or a Subsidiary, except in the ordinary course of business and which is not material to the assets, properties, financial condition, operating results or business of the Company and its Subsidiaries taken as a whole (as such business is presently conducted and as it is proposed to be conducted);</w:t>
      </w:r>
    </w:p>
    <w:p>
      <w:pPr>
        <w:spacing w:after="0" w:line="165" w:lineRule="exact"/>
        <w:rPr>
          <w:rFonts w:ascii="Arial" w:cs="Arial" w:eastAsia="Arial" w:hAnsi="Arial"/>
          <w:sz w:val="17"/>
          <w:szCs w:val="17"/>
          <w:color w:val="auto"/>
        </w:rPr>
      </w:pPr>
    </w:p>
    <w:p>
      <w:pPr>
        <w:ind w:right="180" w:firstLine="1499"/>
        <w:spacing w:after="0" w:line="308" w:lineRule="auto"/>
        <w:tabs>
          <w:tab w:leader="none" w:pos="1796"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change or amendment to the Company's Certificate of Incorporation or Bylaws, or material change to any material contract or arrangement by which the Company or any Subsidiary is bound or to which any of their respective assets or properties is subject;</w:t>
      </w:r>
    </w:p>
    <w:p>
      <w:pPr>
        <w:spacing w:after="0" w:line="146" w:lineRule="exact"/>
        <w:rPr>
          <w:rFonts w:ascii="Arial" w:cs="Arial" w:eastAsia="Arial" w:hAnsi="Arial"/>
          <w:sz w:val="17"/>
          <w:szCs w:val="17"/>
          <w:color w:val="auto"/>
        </w:rPr>
      </w:pPr>
    </w:p>
    <w:p>
      <w:pPr>
        <w:ind w:left="1860" w:hanging="361"/>
        <w:spacing w:after="0"/>
        <w:tabs>
          <w:tab w:leader="none" w:pos="1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material labor difficulties or labor union organizing activities with respect to employees of the Company or any Subsidiary;</w:t>
      </w:r>
    </w:p>
    <w:p>
      <w:pPr>
        <w:spacing w:after="0" w:line="236" w:lineRule="exact"/>
        <w:rPr>
          <w:rFonts w:ascii="Arial" w:cs="Arial" w:eastAsia="Arial" w:hAnsi="Arial"/>
          <w:sz w:val="17"/>
          <w:szCs w:val="17"/>
          <w:color w:val="auto"/>
        </w:rPr>
      </w:pPr>
    </w:p>
    <w:p>
      <w:pPr>
        <w:ind w:left="1900" w:hanging="401"/>
        <w:spacing w:after="0"/>
        <w:tabs>
          <w:tab w:leader="none" w:pos="1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material transaction entered into by the Company or a Subsidiary other than in the ordinary course of business;</w:t>
      </w:r>
    </w:p>
    <w:p>
      <w:pPr>
        <w:spacing w:after="0" w:line="225" w:lineRule="exact"/>
        <w:rPr>
          <w:rFonts w:ascii="Arial" w:cs="Arial" w:eastAsia="Arial" w:hAnsi="Arial"/>
          <w:sz w:val="18"/>
          <w:szCs w:val="18"/>
          <w:color w:val="auto"/>
        </w:rPr>
      </w:pPr>
    </w:p>
    <w:p>
      <w:pPr>
        <w:ind w:right="240" w:firstLine="1499"/>
        <w:spacing w:after="0" w:line="277" w:lineRule="auto"/>
        <w:tabs>
          <w:tab w:leader="none" w:pos="179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the services of any executive officer, other key employee, or material change in the composition or duties of the senior management of the Company or any material Subsidiary;</w:t>
      </w:r>
    </w:p>
    <w:p>
      <w:pPr>
        <w:spacing w:after="0" w:line="170" w:lineRule="exact"/>
        <w:rPr>
          <w:rFonts w:ascii="Arial" w:cs="Arial" w:eastAsia="Arial" w:hAnsi="Arial"/>
          <w:sz w:val="18"/>
          <w:szCs w:val="18"/>
          <w:color w:val="auto"/>
        </w:rPr>
      </w:pPr>
    </w:p>
    <w:p>
      <w:pPr>
        <w:ind w:left="1760" w:hanging="261"/>
        <w:spacing w:after="0"/>
        <w:tabs>
          <w:tab w:leader="none" w:pos="1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loss or threatened loss of any customer which has had or could reasonably be expected to have a Material Adverse Effect; or</w:t>
      </w:r>
    </w:p>
    <w:p>
      <w:pPr>
        <w:spacing w:after="0" w:line="248" w:lineRule="exact"/>
        <w:rPr>
          <w:rFonts w:ascii="Arial" w:cs="Arial" w:eastAsia="Arial" w:hAnsi="Arial"/>
          <w:sz w:val="16"/>
          <w:szCs w:val="16"/>
          <w:color w:val="auto"/>
        </w:rPr>
      </w:pPr>
    </w:p>
    <w:p>
      <w:pPr>
        <w:ind w:left="1800" w:hanging="301"/>
        <w:spacing w:after="0"/>
        <w:tabs>
          <w:tab w:leader="none" w:pos="1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other event or condition of any character that has had or could reasonably be expected to have a Material Adverse Effect.</w:t>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2" w:name="page23"/>
    <w:bookmarkEnd w:id="22"/>
    <w:p>
      <w:pPr>
        <w:ind w:left="112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SEC Filings; S-3 Eligibility</w:t>
      </w:r>
      <w:r>
        <w:rPr>
          <w:rFonts w:ascii="Arial" w:cs="Arial" w:eastAsia="Arial" w:hAnsi="Arial"/>
          <w:sz w:val="18"/>
          <w:szCs w:val="18"/>
          <w:color w:val="auto"/>
        </w:rPr>
        <w:t>.</w:t>
      </w:r>
    </w:p>
    <w:p>
      <w:pPr>
        <w:spacing w:after="0" w:line="225" w:lineRule="exact"/>
        <w:rPr>
          <w:sz w:val="20"/>
          <w:szCs w:val="20"/>
          <w:color w:val="auto"/>
        </w:rPr>
      </w:pPr>
    </w:p>
    <w:p>
      <w:pPr>
        <w:ind w:right="180" w:firstLine="1499"/>
        <w:spacing w:after="0" w:line="264" w:lineRule="auto"/>
        <w:tabs>
          <w:tab w:leader="none" w:pos="1736"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time of filing thereof, the SEC Filings complied as to form in all material respects with the requirements of the 1934 Act and did not contain any untrue statement of a material fact or omit to state any material fact required to be stated therein or necessary in order to make the statements made therein, in the light of the circumstances under which they were made, not misleading.</w:t>
      </w:r>
    </w:p>
    <w:p>
      <w:pPr>
        <w:spacing w:after="0" w:line="181" w:lineRule="exact"/>
        <w:rPr>
          <w:sz w:val="20"/>
          <w:szCs w:val="20"/>
          <w:color w:val="auto"/>
        </w:rPr>
      </w:pPr>
    </w:p>
    <w:p>
      <w:pPr>
        <w:ind w:right="100" w:firstLine="1499"/>
        <w:spacing w:after="0" w:line="277" w:lineRule="auto"/>
        <w:tabs>
          <w:tab w:leader="none" w:pos="17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not eligible to use Form S-3 to register the Registrable Securities (as such term is defined in the Registration Rights Agreement) for sale or other disposition by the Investors as contemplated by the Registration Rights Agreement.</w:t>
      </w:r>
    </w:p>
    <w:p>
      <w:pPr>
        <w:spacing w:after="0" w:line="170" w:lineRule="exact"/>
        <w:rPr>
          <w:sz w:val="20"/>
          <w:szCs w:val="20"/>
          <w:color w:val="auto"/>
        </w:rPr>
      </w:pPr>
    </w:p>
    <w:p>
      <w:pPr>
        <w:ind w:right="60" w:firstLine="1102"/>
        <w:spacing w:after="0" w:line="288"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No Conflict, Breach, Violation or Default</w:t>
      </w:r>
      <w:r>
        <w:rPr>
          <w:rFonts w:ascii="Arial" w:cs="Arial" w:eastAsia="Arial" w:hAnsi="Arial"/>
          <w:sz w:val="16"/>
          <w:szCs w:val="16"/>
          <w:color w:val="auto"/>
        </w:rPr>
        <w:t>. The execution, delivery and performance of the Transaction Documents by the Company, the issuance and sale of the Shares and the effectuation of the Reverse Split will not (i) conflict with or result in a breach or violation of (a) any of the terms and provisions of, or constitute a default under the Company’s Articles of Incorporation or the Company’s Bylaws, both as in effect on the date hereof (true and complete copies of which have been made available to the Investors through the EDGAR system), or (b) any statute, rule, regulation or order of any governmental agency or body or any court, domestic or foreign, having jurisdiction over the Company, any Subsidiary or any of their respective assets or properties, except for such conflicts, breaches or violations as have not had and could not reasonably be expected to have a Material Adverse Effect, individually or in the aggregate, or (ii) conflict with, or constitute a default (or an event that with notice or lapse of time or both would become a default) under, result in the creation of any lien, encumbrance or other adverse claim upon any of the properties or assets of the Company or any Subsidiary or give to others any rights of termination, amendment, acceleration or cancellation (with or without notice, lapse of time or both) of, any Material Contract, except for such as have not had and could not reasonably be expected to have a Material Adverse Effect, individually or in the aggregate.</w:t>
      </w:r>
    </w:p>
    <w:p>
      <w:pPr>
        <w:spacing w:after="0" w:line="169" w:lineRule="exact"/>
        <w:rPr>
          <w:sz w:val="20"/>
          <w:szCs w:val="20"/>
          <w:color w:val="auto"/>
        </w:rPr>
      </w:pPr>
    </w:p>
    <w:p>
      <w:pPr>
        <w:ind w:firstLine="1102"/>
        <w:spacing w:after="0" w:line="269"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Tax Matters</w:t>
      </w:r>
      <w:r>
        <w:rPr>
          <w:rFonts w:ascii="Arial" w:cs="Arial" w:eastAsia="Arial" w:hAnsi="Arial"/>
          <w:sz w:val="17"/>
          <w:szCs w:val="17"/>
          <w:color w:val="auto"/>
        </w:rPr>
        <w:t xml:space="preserve">. The Company and each Subsidiary has timely prepared and filed all tax returns required to have been filed by the Company or such Subsidiary with all appropriate governmental agencies and timely paid all taxes shown thereon and timely paid all other material taxes otherwise owed by it, other than taxes being contested in good faith and for which adequate reserves have been made on the Company’s financial statements included in the SEC Filings. The charges, accruals and reserves on the books of the Company in respect of taxes for all fiscal periods are adequate in all material respects, and there are no material unpaid assessments against the Company or any Subsidiary nor, to the Company’s Knowledge, any basis for the assessment of any additional taxes, penalties or interest for any fiscal period or audits by any federal, state or local taxing authority except for any assessment which is not material to the Company and its Subsidiaries, taken as a whole. All taxes and other assessments and levies that the Company or any Subsidiary are required to withhold or to collect for payment have been duly withheld and collected and paid to the proper governmental entity or third party when due, other than taxes being contested in good faith and for which adequate reserves have been made on the Company’s financial statements included in the SEC Filings. There are no tax liens or claims pending or, to the Company’s Knowledge, threatened against the Company or any Subsidiary or any of their respective assets or property. Except as described on </w:t>
      </w:r>
      <w:r>
        <w:rPr>
          <w:rFonts w:ascii="Arial" w:cs="Arial" w:eastAsia="Arial" w:hAnsi="Arial"/>
          <w:sz w:val="17"/>
          <w:szCs w:val="17"/>
          <w:u w:val="single" w:color="auto"/>
          <w:color w:val="auto"/>
        </w:rPr>
        <w:t>Schedule 4.11</w:t>
      </w:r>
      <w:r>
        <w:rPr>
          <w:rFonts w:ascii="Arial" w:cs="Arial" w:eastAsia="Arial" w:hAnsi="Arial"/>
          <w:sz w:val="17"/>
          <w:szCs w:val="17"/>
          <w:color w:val="auto"/>
        </w:rPr>
        <w:t>, there are no outstanding tax sharing agreements or other such arrangements between the Company and any Subsidiary or other corporation or entity.</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 w:name="page24"/>
    <w:bookmarkEnd w:id="23"/>
    <w:p>
      <w:pPr>
        <w:ind w:right="40" w:firstLine="1102"/>
        <w:spacing w:after="0" w:line="25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Title to Properties</w:t>
      </w:r>
      <w:r>
        <w:rPr>
          <w:rFonts w:ascii="Arial" w:cs="Arial" w:eastAsia="Arial" w:hAnsi="Arial"/>
          <w:sz w:val="18"/>
          <w:szCs w:val="18"/>
          <w:color w:val="auto"/>
        </w:rPr>
        <w:t>. Except as disclosed in the SEC Filings, the Company and each Subsidiary has good and marketable title to all real properties and all other properties and assets owned by it, in each case free from liens, encumbrances and defects that would materially affect the value thereof or materially interfere with the use made or currently planned to be made thereof by them; and except as disclosed in the SEC Filings, the Company and each Subsidiary holds any leased real or personal property under valid and enforceable leases with no exceptions that would materially interfere with the use made or currently planned to be made thereof by them.</w:t>
      </w:r>
    </w:p>
    <w:p>
      <w:pPr>
        <w:spacing w:after="0" w:line="188" w:lineRule="exact"/>
        <w:rPr>
          <w:sz w:val="20"/>
          <w:szCs w:val="20"/>
          <w:color w:val="auto"/>
        </w:rPr>
      </w:pPr>
    </w:p>
    <w:p>
      <w:pPr>
        <w:ind w:right="20" w:firstLine="1102"/>
        <w:spacing w:after="0" w:line="297"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Certificates, Authorities and Permits</w:t>
      </w:r>
      <w:r>
        <w:rPr>
          <w:rFonts w:ascii="Arial" w:cs="Arial" w:eastAsia="Arial" w:hAnsi="Arial"/>
          <w:sz w:val="16"/>
          <w:szCs w:val="16"/>
          <w:color w:val="auto"/>
        </w:rPr>
        <w:t>. The Company and each Subsidiary possess adequate certificates, authorities or permits issued by appropriate governmental agencies or bodies necessary to conduct the business now operated by them, except where the failure to so possess has not had and could not reasonably be expected to have a Material Adverse Effect, individually or in the aggregate, and neither the Company nor any Subsidiary has received any notice of proceedings relating to the revocation or modification of any such certificate, authority or permit that, if determined adversely to the Company or such Subsidiary, could reasonably be expected to have a Material Adverse Effect, individually or in the aggregate.</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225" w:lineRule="exact"/>
        <w:rPr>
          <w:sz w:val="20"/>
          <w:szCs w:val="20"/>
          <w:color w:val="auto"/>
        </w:rPr>
      </w:pPr>
    </w:p>
    <w:p>
      <w:pPr>
        <w:ind w:right="20" w:firstLine="1110"/>
        <w:spacing w:after="0" w:line="259" w:lineRule="auto"/>
        <w:tabs>
          <w:tab w:leader="none" w:pos="1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4.14</w:t>
      </w:r>
      <w:r>
        <w:rPr>
          <w:rFonts w:ascii="Arial" w:cs="Arial" w:eastAsia="Arial" w:hAnsi="Arial"/>
          <w:sz w:val="18"/>
          <w:szCs w:val="18"/>
          <w:color w:val="auto"/>
        </w:rPr>
        <w:t>, the Company is not a party to or bound by any collective bargaining agreements or other agreements with labor organizations. The Company has not violated in any material respect any laws, regulations, orders or contract terms, affecting the collective bargaining rights of employees, labor organizations or any laws, regulations or orders affecting employment discrimination, equal opportunity employment, or employees’ health, safety, welfare, wages and hours.</w:t>
      </w:r>
    </w:p>
    <w:p>
      <w:pPr>
        <w:spacing w:after="0" w:line="186" w:lineRule="exact"/>
        <w:rPr>
          <w:rFonts w:ascii="Arial" w:cs="Arial" w:eastAsia="Arial" w:hAnsi="Arial"/>
          <w:sz w:val="18"/>
          <w:szCs w:val="18"/>
          <w:color w:val="auto"/>
        </w:rPr>
      </w:pPr>
    </w:p>
    <w:p>
      <w:pPr>
        <w:ind w:firstLine="1110"/>
        <w:spacing w:after="0" w:line="255" w:lineRule="auto"/>
        <w:tabs>
          <w:tab w:leader="none" w:pos="1357" w:val="left"/>
        </w:tabs>
        <w:numPr>
          <w:ilvl w:val="0"/>
          <w:numId w:val="8"/>
        </w:numPr>
        <w:rPr>
          <w:rFonts w:ascii="Arial" w:cs="Arial" w:eastAsia="Arial" w:hAnsi="Arial"/>
          <w:sz w:val="18"/>
          <w:szCs w:val="18"/>
          <w:color w:val="auto"/>
        </w:rPr>
      </w:pPr>
      <w:r>
        <w:rPr>
          <w:rFonts w:ascii="Arial" w:cs="Arial" w:eastAsia="Arial" w:hAnsi="Arial"/>
          <w:sz w:val="18"/>
          <w:szCs w:val="18"/>
          <w:color w:val="auto"/>
        </w:rPr>
        <w:t>(i) There are no labor disputes existing, or to the Company's Knowledge, threatened, involving strikes, slow-downs, work stoppages, job actions, disputes, lockouts or any other disruptions of or by the Company's employees, (ii) there are no unfair labor practices or petitions for election pending or, to the Company's Knowledge, threatened before the National Labor Relations Board or any other federal, state or local labor commission relating to the Company's employees, (iii) no demand for recognition or certification heretofore made by any labor organization or group of employees is pending with respect to the Company and (iv) to the Company's Knowledge, the Company enjoys good labor and employee relations with its employees and labor organizations in all material respects.</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24" w:name="page25"/>
    <w:bookmarkEnd w:id="24"/>
    <w:p>
      <w:pPr>
        <w:ind w:left="-20" w:right="80" w:firstLine="1110"/>
        <w:spacing w:after="0" w:line="273" w:lineRule="auto"/>
        <w:tabs>
          <w:tab w:leader="none" w:pos="132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is, and at all times has been, in compliance with all applicable laws respecting employment (including laws relating to classification of employees and independent contractors) and employment practices, terms and conditions of employment, wages and hours, and immigration and naturalization, except for such instances of non-compliance as have not had and could not reasonably be expected to have a Material Adverse Effect, individually or in the aggregate. There are no claims pending against the Company before the Equal Employment Opportunity Commission or any other administrative body or in any court asserting any violation of Title VII of the Civil Rights Act of 1964, the Age Discrimination Act of 1967, 42 U.S.C. §§ 1981 or 1983 or any other federal, state or local Law, statute or ordinance barring discrimination in employment.</w:t>
      </w:r>
    </w:p>
    <w:p>
      <w:pPr>
        <w:spacing w:after="0" w:line="178" w:lineRule="exact"/>
        <w:rPr>
          <w:rFonts w:ascii="Arial" w:cs="Arial" w:eastAsia="Arial" w:hAnsi="Arial"/>
          <w:sz w:val="17"/>
          <w:szCs w:val="17"/>
          <w:color w:val="auto"/>
        </w:rPr>
      </w:pPr>
    </w:p>
    <w:p>
      <w:pPr>
        <w:ind w:left="-20" w:right="560" w:firstLine="1110"/>
        <w:spacing w:after="0" w:line="264" w:lineRule="auto"/>
        <w:tabs>
          <w:tab w:leader="none" w:pos="1337"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Except as disclosed in the SEC Filings or as described on </w:t>
      </w:r>
      <w:r>
        <w:rPr>
          <w:rFonts w:ascii="Arial" w:cs="Arial" w:eastAsia="Arial" w:hAnsi="Arial"/>
          <w:sz w:val="18"/>
          <w:szCs w:val="18"/>
          <w:u w:val="single" w:color="auto"/>
          <w:color w:val="auto"/>
        </w:rPr>
        <w:t>Schedule 4.14</w:t>
      </w:r>
      <w:r>
        <w:rPr>
          <w:rFonts w:ascii="Arial" w:cs="Arial" w:eastAsia="Arial" w:hAnsi="Arial"/>
          <w:sz w:val="18"/>
          <w:szCs w:val="18"/>
          <w:color w:val="auto"/>
        </w:rPr>
        <w:t>, the Company is not a party to, or bound by, any written employment or other contract or agreement that contains any severance, termination pay or change of control liability or obligation, including, without limitation, any “excess parachute payment,” as defined in Section 280G(b) of the Internal Revenue Code.</w:t>
      </w:r>
    </w:p>
    <w:p>
      <w:pPr>
        <w:spacing w:after="0" w:line="181" w:lineRule="exact"/>
        <w:rPr>
          <w:rFonts w:ascii="Arial" w:cs="Arial" w:eastAsia="Arial" w:hAnsi="Arial"/>
          <w:sz w:val="18"/>
          <w:szCs w:val="18"/>
          <w:color w:val="auto"/>
        </w:rPr>
      </w:pPr>
    </w:p>
    <w:p>
      <w:pPr>
        <w:ind w:left="-20" w:right="160" w:firstLine="1110"/>
        <w:spacing w:after="0" w:line="264" w:lineRule="auto"/>
        <w:tabs>
          <w:tab w:leader="none" w:pos="1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Except as specified in </w:t>
      </w:r>
      <w:r>
        <w:rPr>
          <w:rFonts w:ascii="Arial" w:cs="Arial" w:eastAsia="Arial" w:hAnsi="Arial"/>
          <w:sz w:val="18"/>
          <w:szCs w:val="18"/>
          <w:u w:val="single" w:color="auto"/>
          <w:color w:val="auto"/>
        </w:rPr>
        <w:t>Schedule 4.14</w:t>
      </w:r>
      <w:r>
        <w:rPr>
          <w:rFonts w:ascii="Arial" w:cs="Arial" w:eastAsia="Arial" w:hAnsi="Arial"/>
          <w:sz w:val="18"/>
          <w:szCs w:val="18"/>
          <w:color w:val="auto"/>
        </w:rPr>
        <w:t>, each of the Company's employees is a Person who is either a United States citizen or holds a valid visa entitling such employee to work in the United States. To the Company's Knowledge, the Company has no liability for the improper classification by the Company of such employees as independent contractors or leased employees prior to the Closing.</w:t>
      </w:r>
    </w:p>
    <w:p>
      <w:pPr>
        <w:spacing w:after="0" w:line="18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20" w:firstLine="1499"/>
        <w:spacing w:after="0" w:line="273" w:lineRule="auto"/>
        <w:tabs>
          <w:tab w:leader="none" w:pos="17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Intellectual Property of the Company and its Subsidiaries consisting of patents, patent applications, registered trademarks, trademark applications and/or copyrights is currently in compliance in all material respects with all legal requirements (including timely filings, proofs and payments of fees) and is valid and enforceable. No Intellectual Property of the Company or its Subsidiaries which is necessary for the conduct of Company’s and each of its Subsidiaries’ respective businesses as currently conducted or as currently proposed to be conducted has been or is now involved in any cancellation, dispute or litigation, and, to the Company’s Knowledge, no such action is threatened. No patent of the Company or its Subsidiaries has been or is now involved in any interference, reissue, re-examination or opposition proceeding.</w:t>
      </w:r>
    </w:p>
    <w:p>
      <w:pPr>
        <w:spacing w:after="0" w:line="178" w:lineRule="exact"/>
        <w:rPr>
          <w:rFonts w:ascii="Arial" w:cs="Arial" w:eastAsia="Arial" w:hAnsi="Arial"/>
          <w:sz w:val="17"/>
          <w:szCs w:val="17"/>
          <w:color w:val="auto"/>
        </w:rPr>
      </w:pPr>
    </w:p>
    <w:p>
      <w:pPr>
        <w:ind w:left="-20" w:right="20" w:firstLine="1499"/>
        <w:spacing w:after="0" w:line="270" w:lineRule="auto"/>
        <w:tabs>
          <w:tab w:leader="none" w:pos="172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of the licenses and sublicenses and consent, royalty or other agreements concerning Intellectual Property which are necessary for the conduct of the Company’s and each of its Subsidiaries’ respective businesses as currently conducted or as currently proposed to be conducted to which the Company or any Subsidiary is a party or by which any of their assets are bound (other than generally commercially available, non-custom, off-the-shelf software application programs having a retail acquisition price of less than $50,000 per license) (collectively, “License Agreements”) are valid and binding obligations of the Company or its Subsidiaries that are parties thereto and, to the Company’s Knowledge, the other parties thereto, enforceable in accordance with their terms, except to the extent that enforcement thereof may be limited by bankruptcy, insolvency, reorganization, moratorium, fraudulent conveyance or other similar laws affecting the enforcement of creditors’ rights generally, and there exists no event or condition which, to the Company’s Knowledge, will result in a violation or breach of or constitute (with or without due notice or lapse of time or both) a default by the Company or any of its Subsidiaries under any such License Agreement, except for such violations, breaches and defaults as have not had and could not reasonably be expected to have a Material Adverse Effect, individually or in the aggregate.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5" w:name="page26"/>
    <w:bookmarkEnd w:id="25"/>
    <w:p>
      <w:pPr>
        <w:ind w:left="-40" w:right="140" w:firstLine="1499"/>
        <w:spacing w:after="0" w:line="273" w:lineRule="auto"/>
        <w:tabs>
          <w:tab w:leader="none" w:pos="169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its Subsidiaries own or have the valid right to use all of the Intellectual Property that is necessary for the conduct of the Company’s and each of its Subsidiaries’ respective businesses as currently conducted or as currently proposed to be conducted and for the ownership, maintenance and operation of the Company’s and its Subsidiaries’ properties and assets, free and clear of all liens, encumbrances, adverse claims or obligations to license all such owned Intellectual Property and Confidential Information, other than licenses entered into in the ordinary course of the Company’s and its Subsidiaries’ businesses. The Company and its Subsidiaries have a valid and enforceable right to use all third party Intellectual Property and Confidential Information used or held for use in the respective businesses of the Company and its Subsidiaries.</w:t>
      </w:r>
    </w:p>
    <w:p>
      <w:pPr>
        <w:spacing w:after="0" w:line="178" w:lineRule="exact"/>
        <w:rPr>
          <w:rFonts w:ascii="Arial" w:cs="Arial" w:eastAsia="Arial" w:hAnsi="Arial"/>
          <w:sz w:val="17"/>
          <w:szCs w:val="17"/>
          <w:color w:val="auto"/>
        </w:rPr>
      </w:pPr>
    </w:p>
    <w:p>
      <w:pPr>
        <w:ind w:left="-40" w:firstLine="1499"/>
        <w:spacing w:after="0" w:line="254" w:lineRule="auto"/>
        <w:tabs>
          <w:tab w:leader="none" w:pos="17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Company’s Knowledge, (i) the conduct of the Company’s and its Subsidiaries’ businesses as currently conducted does not infringe or otherwise impair or conflict with (collectively, “Infringe”) any Intellectual Property rights of any third party or any confidentiality obligation owed to a third party, and (ii) the Intellectual Property and Confidential Information of the Company and its Subsidiaries which are necessary for the conduct of Company’s and each of its Subsidiaries’ respective businesses as currently conducted or as currently proposed to be conducted are not being Infringed by any third party. There is no litigation or order pending or outstanding or, to the Company’s Knowledge, threatened or imminent, that seeks to limit or challenge or that concerns the ownership, use, validity or enforceability of any Intellectual Property or Confidential Information of the Company and its Subsidiaries and the Company’s and its Subsidiaries’ use of any Intellectual Property or Confidential Information owned by a third party, and, to the Company’s Knowledge, there is no valid basis for the same.</w:t>
      </w:r>
    </w:p>
    <w:p>
      <w:pPr>
        <w:spacing w:after="0" w:line="192" w:lineRule="exact"/>
        <w:rPr>
          <w:rFonts w:ascii="Arial" w:cs="Arial" w:eastAsia="Arial" w:hAnsi="Arial"/>
          <w:sz w:val="18"/>
          <w:szCs w:val="18"/>
          <w:color w:val="auto"/>
        </w:rPr>
      </w:pPr>
    </w:p>
    <w:p>
      <w:pPr>
        <w:ind w:left="-40" w:right="140" w:firstLine="1499"/>
        <w:spacing w:after="0" w:line="259" w:lineRule="auto"/>
        <w:tabs>
          <w:tab w:leader="none" w:pos="16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hereby and by the other Transaction Documents will not result in the alteration, loss, impairment of or restriction on the Company’s or any of its Subsidiaries’ ownership or right to use any of the Intellectual Property or Confidential Information which is necessary for the conduct of Company’s and each of its Subsidiaries’ respective businesses as currently conducted or as currently proposed to be conducted.</w:t>
      </w:r>
    </w:p>
    <w:p>
      <w:pPr>
        <w:spacing w:after="0" w:line="186" w:lineRule="exact"/>
        <w:rPr>
          <w:rFonts w:ascii="Arial" w:cs="Arial" w:eastAsia="Arial" w:hAnsi="Arial"/>
          <w:sz w:val="18"/>
          <w:szCs w:val="18"/>
          <w:color w:val="auto"/>
        </w:rPr>
      </w:pPr>
    </w:p>
    <w:p>
      <w:pPr>
        <w:ind w:left="-40" w:right="100" w:firstLine="1499"/>
        <w:spacing w:after="0" w:line="273" w:lineRule="auto"/>
        <w:tabs>
          <w:tab w:leader="none" w:pos="167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its Subsidiaries have taken reasonable steps to protect the Company’s and its Subsidiaries’ rights in their Intellectual Property and Confidential Information. To the Company’s Knowledge, each employee, consultant and contractor who has had access to Confidential Information which is necessary for the conduct of Company’s and each of its Subsidiaries’ respective businesses as currently conducted or as currently proposed to be conducted has executed an agreement to maintain the confidentiality of such Confidential Information and has executed appropriate agreements that are substantially consistent with the Company’s standard forms thereof. Except under confidentiality obligations, there has been no material disclosure of any of the Company’s or its Subsidiaries’ Confidential Information to any third party.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26" w:name="page27"/>
    <w:bookmarkEnd w:id="26"/>
    <w:p>
      <w:pPr>
        <w:ind w:right="80" w:firstLine="1102"/>
        <w:spacing w:after="0" w:line="255"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Neither the Company nor any Subsidiary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“Environmental Laws”),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has had or could reasonably be expected to have a Material Adverse Effect, individually or in the aggregate; and there is no pending or, to the Company’s Knowledge, threatened investigation that might lead to such a claim.</w:t>
      </w:r>
    </w:p>
    <w:p>
      <w:pPr>
        <w:spacing w:after="0" w:line="189" w:lineRule="exact"/>
        <w:rPr>
          <w:sz w:val="20"/>
          <w:szCs w:val="20"/>
          <w:color w:val="auto"/>
        </w:rPr>
      </w:pPr>
    </w:p>
    <w:p>
      <w:pPr>
        <w:ind w:firstLine="1102"/>
        <w:spacing w:after="0" w:line="255"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described on </w:t>
      </w:r>
      <w:r>
        <w:rPr>
          <w:rFonts w:ascii="Arial" w:cs="Arial" w:eastAsia="Arial" w:hAnsi="Arial"/>
          <w:sz w:val="18"/>
          <w:szCs w:val="18"/>
          <w:u w:val="single" w:color="auto"/>
          <w:color w:val="auto"/>
        </w:rPr>
        <w:t>Schedule 4.17</w:t>
      </w:r>
      <w:r>
        <w:rPr>
          <w:rFonts w:ascii="Arial" w:cs="Arial" w:eastAsia="Arial" w:hAnsi="Arial"/>
          <w:sz w:val="18"/>
          <w:szCs w:val="18"/>
          <w:color w:val="auto"/>
        </w:rPr>
        <w:t>, there are no pending actions, suits or proceedings against or affecting the Company, its Subsidiaries or any of its or their properties; and to the Company’s Knowledge, no such actions, suits or proceedings are threatened or contemplated. Neither the Company nor any Subsidiary, nor any director or executive officer thereof, is or since January 1, 2013 has been the subject of any action involving a claim of violation of or liability under federal or state securities laws or a claim of breach of fiduciary duty. There has not been, and to the Company’s Knowledge, there is not pending or contemplated, any investigation by the SEC involving the Company or any current or former director or officer of the Company. The SEC has not issued any stop order or other order suspending the effectiveness of any registration statement filed by the Company or any Subsidiary under the 1933 Act or the 1934 Act.</w:t>
      </w:r>
    </w:p>
    <w:p>
      <w:pPr>
        <w:spacing w:after="0" w:line="189" w:lineRule="exact"/>
        <w:rPr>
          <w:sz w:val="20"/>
          <w:szCs w:val="20"/>
          <w:color w:val="auto"/>
        </w:rPr>
      </w:pPr>
    </w:p>
    <w:p>
      <w:pPr>
        <w:ind w:right="20" w:firstLine="1102"/>
        <w:spacing w:after="0" w:line="289"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financial statements included in each SEC Filing comply in all material respects with applicable accounting requirements and the rules and regulations of the SEC with respect thereto as in effect at the time of filing (or to the extent corrected by a subsequent restatement) and present fairly, in all material respects, the consolidated financial position of the Company and its Subsidiaries as of the dates shown and their consolidated results of operations and cash flows for the periods shown, and such financial statements have been prepared in conformity with United States generally accepted accounting principles applied on a consistent basis (“GAAP”) (except as may be disclosed therein or in the notes thereto, and, in the case of quarterly financial statements, as permitted by Form 10-Q under the 1934 Act). Except as set forth in the financial statements of the Company included in the SEC Filings filed prior to the date hereof or as described on </w:t>
      </w:r>
      <w:r>
        <w:rPr>
          <w:rFonts w:ascii="Arial" w:cs="Arial" w:eastAsia="Arial" w:hAnsi="Arial"/>
          <w:sz w:val="16"/>
          <w:szCs w:val="16"/>
          <w:u w:val="single" w:color="auto"/>
          <w:color w:val="auto"/>
        </w:rPr>
        <w:t>Schedule 4.18</w:t>
      </w:r>
      <w:r>
        <w:rPr>
          <w:rFonts w:ascii="Arial" w:cs="Arial" w:eastAsia="Arial" w:hAnsi="Arial"/>
          <w:sz w:val="16"/>
          <w:szCs w:val="16"/>
          <w:color w:val="auto"/>
        </w:rPr>
        <w:t>, neither the Company nor any of its Subsidiaries has incurred any liabilities, contingent or otherwise, except those incurred in the ordinary course of business, consistent (as to amount and nature) with past practices since the date of such financial statements, none of which, individually or in the aggregate, have had or could reasonably be expected to have a Material Adverse Effect.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p>
      <w:pPr>
        <w:ind w:right="20" w:firstLine="1102"/>
        <w:spacing w:after="0" w:line="259"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Insurance Coverage</w:t>
      </w:r>
      <w:r>
        <w:rPr>
          <w:rFonts w:ascii="Arial" w:cs="Arial" w:eastAsia="Arial" w:hAnsi="Arial"/>
          <w:sz w:val="18"/>
          <w:szCs w:val="18"/>
          <w:color w:val="auto"/>
        </w:rPr>
        <w:t>. The Company and each Subsidiary maintains in full force and effect insurance coverage that, to the Company’s Knowledge, is customary for comparably situated companies for the business being conducted and properties owned or leased by the Company and each Subsidiary, and the Company reasonably believes such insurance coverage to be adequate against all liabilities, claims and risks against which it is customary for comparably situated companies to insure.</w:t>
      </w:r>
    </w:p>
    <w:p>
      <w:pPr>
        <w:spacing w:after="0" w:line="187" w:lineRule="exact"/>
        <w:rPr>
          <w:sz w:val="20"/>
          <w:szCs w:val="20"/>
          <w:color w:val="auto"/>
        </w:rPr>
      </w:pPr>
    </w:p>
    <w:p>
      <w:pPr>
        <w:ind w:firstLine="1102"/>
        <w:spacing w:after="0" w:line="259"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Trading Market</w:t>
      </w:r>
      <w:r>
        <w:rPr>
          <w:rFonts w:ascii="Arial" w:cs="Arial" w:eastAsia="Arial" w:hAnsi="Arial"/>
          <w:sz w:val="18"/>
          <w:szCs w:val="18"/>
          <w:color w:val="auto"/>
        </w:rPr>
        <w:t>. The Common Stock is registered pursuant to Section 12(g) of the 1934 Act and is quoted on OTCQB maintained by OTC Markets Group Inc. (the “</w:t>
      </w:r>
      <w:r>
        <w:rPr>
          <w:rFonts w:ascii="Arial" w:cs="Arial" w:eastAsia="Arial" w:hAnsi="Arial"/>
          <w:sz w:val="18"/>
          <w:szCs w:val="18"/>
          <w:u w:val="single" w:color="auto"/>
          <w:color w:val="auto"/>
        </w:rPr>
        <w:t>OTCQB</w:t>
      </w:r>
      <w:r>
        <w:rPr>
          <w:rFonts w:ascii="Arial" w:cs="Arial" w:eastAsia="Arial" w:hAnsi="Arial"/>
          <w:sz w:val="18"/>
          <w:szCs w:val="18"/>
          <w:color w:val="auto"/>
        </w:rPr>
        <w:t>”), and the Company has taken no action designed to, or likely to have the effect of, terminating the registration of the Common Stock under the 1934 Act or removal from quotation of the Common Stock from the OTCQB, nor has the Company received any notification that the SEC or the OTCQB is contemplating terminating such registration or quotation.</w:t>
      </w:r>
    </w:p>
    <w:p>
      <w:pPr>
        <w:spacing w:after="0" w:line="187" w:lineRule="exact"/>
        <w:rPr>
          <w:sz w:val="20"/>
          <w:szCs w:val="20"/>
          <w:color w:val="auto"/>
        </w:rPr>
      </w:pPr>
    </w:p>
    <w:p>
      <w:pPr>
        <w:ind w:right="280" w:firstLine="1102"/>
        <w:spacing w:after="0" w:line="286"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u w:val="single" w:color="auto"/>
          <w:color w:val="auto"/>
        </w:rPr>
        <w:t>Brokers and Finders</w:t>
      </w:r>
      <w:r>
        <w:rPr>
          <w:rFonts w:ascii="Arial" w:cs="Arial" w:eastAsia="Arial" w:hAnsi="Arial"/>
          <w:sz w:val="17"/>
          <w:szCs w:val="17"/>
          <w:color w:val="auto"/>
        </w:rPr>
        <w:t xml:space="preserve">. No Person will have, as a result of the transactions contemplated by the Transaction Documents, any valid right, interest or claim against or upon the Company, any Subsidiary or an Investor for any commission, fee or other compensation pursuant to any agreement, arrangement or understanding entered into by or on behalf of the Company, other than as described in </w:t>
      </w:r>
      <w:r>
        <w:rPr>
          <w:rFonts w:ascii="Arial" w:cs="Arial" w:eastAsia="Arial" w:hAnsi="Arial"/>
          <w:sz w:val="17"/>
          <w:szCs w:val="17"/>
          <w:u w:val="single" w:color="auto"/>
          <w:color w:val="auto"/>
        </w:rPr>
        <w:t>Schedule 4.21</w:t>
      </w:r>
      <w:r>
        <w:rPr>
          <w:rFonts w:ascii="Arial" w:cs="Arial" w:eastAsia="Arial" w:hAnsi="Arial"/>
          <w:sz w:val="17"/>
          <w:szCs w:val="17"/>
          <w:color w:val="auto"/>
        </w:rPr>
        <w:t>.</w:t>
      </w:r>
    </w:p>
    <w:p>
      <w:pPr>
        <w:spacing w:after="0" w:line="166" w:lineRule="exact"/>
        <w:rPr>
          <w:sz w:val="20"/>
          <w:szCs w:val="20"/>
          <w:color w:val="auto"/>
        </w:rPr>
      </w:pPr>
    </w:p>
    <w:p>
      <w:pPr>
        <w:ind w:right="460" w:firstLine="1102"/>
        <w:spacing w:after="0" w:line="277"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Person acting on its behalf has conducted any general solicitation or general advertising (as those terms are used in Regulation D) in connection with the offer or sale of any of the Shares.</w:t>
      </w:r>
    </w:p>
    <w:p>
      <w:pPr>
        <w:spacing w:after="0" w:line="170" w:lineRule="exact"/>
        <w:rPr>
          <w:sz w:val="20"/>
          <w:szCs w:val="20"/>
          <w:color w:val="auto"/>
        </w:rPr>
      </w:pPr>
    </w:p>
    <w:p>
      <w:pPr>
        <w:ind w:right="80" w:firstLine="1102"/>
        <w:spacing w:after="0" w:line="259"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No Integrated Offering</w:t>
      </w:r>
      <w:r>
        <w:rPr>
          <w:rFonts w:ascii="Arial" w:cs="Arial" w:eastAsia="Arial" w:hAnsi="Arial"/>
          <w:sz w:val="18"/>
          <w:szCs w:val="18"/>
          <w:color w:val="auto"/>
        </w:rPr>
        <w:t>. Neither the Company nor any of its Affiliates, nor any Person acting on its or their behalf has, directly or indirectly, made any offers or sales of any Company security or solicited any offers to buy any security, under circumstances that would adversely affect reliance by the Company on Section 4(a)(2) for the exemption from registration for the transactions contemplated hereby or would require registration of the Shares under the 1933 Act.</w:t>
      </w:r>
    </w:p>
    <w:p>
      <w:pPr>
        <w:spacing w:after="0" w:line="187" w:lineRule="exact"/>
        <w:rPr>
          <w:sz w:val="20"/>
          <w:szCs w:val="20"/>
          <w:color w:val="auto"/>
        </w:rPr>
      </w:pPr>
    </w:p>
    <w:p>
      <w:pPr>
        <w:ind w:right="80" w:firstLine="1102"/>
        <w:spacing w:after="0" w:line="269" w:lineRule="auto"/>
        <w:rPr>
          <w:sz w:val="20"/>
          <w:szCs w:val="20"/>
          <w:color w:val="auto"/>
        </w:rPr>
      </w:pPr>
      <w:r>
        <w:rPr>
          <w:rFonts w:ascii="Arial" w:cs="Arial" w:eastAsia="Arial" w:hAnsi="Arial"/>
          <w:sz w:val="17"/>
          <w:szCs w:val="17"/>
          <w:color w:val="auto"/>
        </w:rPr>
        <w:t xml:space="preserve">4.24 </w:t>
      </w:r>
      <w:r>
        <w:rPr>
          <w:rFonts w:ascii="Arial" w:cs="Arial" w:eastAsia="Arial" w:hAnsi="Arial"/>
          <w:sz w:val="17"/>
          <w:szCs w:val="17"/>
          <w:u w:val="single" w:color="auto"/>
          <w:color w:val="auto"/>
        </w:rPr>
        <w:t>Rule 506 Compliance</w:t>
      </w:r>
      <w:r>
        <w:rPr>
          <w:rFonts w:ascii="Arial" w:cs="Arial" w:eastAsia="Arial" w:hAnsi="Arial"/>
          <w:sz w:val="17"/>
          <w:szCs w:val="17"/>
          <w:color w:val="auto"/>
        </w:rPr>
        <w:t>. To the Company's Knowledge, neither the Company, any Insider, the Agent nor any Agent Related Person is subject to any of the “Bad Actor” disqualifications described in Rule 506(d)(1)(i) to (viii) under the 1933 Act (a “Disqualification Event”), except for a Disqualification Event covered by Rule 506(d)(2)(i) or (d)(3) of the 1933 Act. The Company is not disqualified from relying on Rule 506 of Regulation D under the 1933 Act (“Rule 506”) for any of the reasons stated in Rule 506(d) in connection with the issuance and sale of the Shares to the Investors pursuant to this Agreement. The Company has exercised reasonable care, including without limitation, conducting a factual inquiry that is appropriate in light of the circumstances, into whether any such disqualification under Rule 506(d) exists. The Company has furnished to each Investor, a reasonable time prior to the date hereof, a description in writing of any matters relating to the Company, the Insiders, the Agent and the Agent Related Persons that would have triggered disqualification under Rule 506(d) but which occurred before September 23, 2013, in each case, in compliance with the disclosure requirements of Rule 506(e). The Company has exercised reasonable care, including without limitation, conducting a factual inquiry that is appropriate in light of the circumstances, into whether any such disqualification under Rule 506(d) would have existed and whether any disclosure is required to be made to Investor under Rule 506(e). Any outstanding securities of the Company (of any kind or nature) that were issued in reliance on Rule 506 at any time on or after September 23, 2013 have been issued in compliance with Rule 506(d) and (e).</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8" w:name="page29"/>
    <w:bookmarkEnd w:id="28"/>
    <w:p>
      <w:pPr>
        <w:ind w:right="100" w:firstLine="1102"/>
        <w:spacing w:after="0" w:line="277"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Private Placement</w:t>
      </w:r>
      <w:r>
        <w:rPr>
          <w:rFonts w:ascii="Arial" w:cs="Arial" w:eastAsia="Arial" w:hAnsi="Arial"/>
          <w:sz w:val="18"/>
          <w:szCs w:val="18"/>
          <w:color w:val="auto"/>
        </w:rPr>
        <w:t>. The offer and sale of the Shares to the Investors as contemplated hereby is exempt from the registration requirements of the 1933 Act.</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Shell Company Status</w:t>
      </w:r>
      <w:r>
        <w:rPr>
          <w:rFonts w:ascii="Arial" w:cs="Arial" w:eastAsia="Arial" w:hAnsi="Arial"/>
          <w:sz w:val="18"/>
          <w:szCs w:val="18"/>
          <w:color w:val="auto"/>
        </w:rPr>
        <w:t>. The Company is not, and has never been, an issuer identified in Rule 144(i)(1).</w:t>
      </w:r>
    </w:p>
    <w:p>
      <w:pPr>
        <w:spacing w:after="0" w:line="225" w:lineRule="exact"/>
        <w:rPr>
          <w:sz w:val="20"/>
          <w:szCs w:val="20"/>
          <w:color w:val="auto"/>
        </w:rPr>
      </w:pPr>
    </w:p>
    <w:p>
      <w:pPr>
        <w:ind w:firstLine="1102"/>
        <w:spacing w:after="0" w:line="255" w:lineRule="auto"/>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u w:val="single" w:color="auto"/>
          <w:color w:val="auto"/>
        </w:rPr>
        <w:t>Questionable Payments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Neither the Company nor any of its Subsidiaries nor, to the Company’s Knowledge, any of their respective current or former stockholders, directors, officers, employees, agents or other Persons acting on behalf of the Company or any Subsidiary, has on behalf of the Company or any Subsidiary or in connection with their respective businesses: (a) used any corporate funds for unlawful contributions, gifts, entertainment or other unlawful expenses relating to political activity; (b) made any direct or indirect unlawful payments to any governmental officials or employees from corporate funds; (c) established or maintained any unlawful or unrecorded fund of corporate monies or other assets; (d) made any false or fictitious entries on the books and records of the Company or any Subsidiary; or (e) made any unlawful bribe, rebate, payoff, influence payment, kickback or other unlawful payment of any nature.</w:t>
      </w:r>
    </w:p>
    <w:p>
      <w:pPr>
        <w:spacing w:after="0" w:line="189" w:lineRule="exact"/>
        <w:rPr>
          <w:sz w:val="20"/>
          <w:szCs w:val="20"/>
          <w:color w:val="auto"/>
        </w:rPr>
      </w:pPr>
    </w:p>
    <w:p>
      <w:pPr>
        <w:jc w:val="both"/>
        <w:ind w:right="100" w:firstLine="1102"/>
        <w:spacing w:after="0" w:line="273" w:lineRule="auto"/>
        <w:rPr>
          <w:sz w:val="20"/>
          <w:szCs w:val="20"/>
          <w:color w:val="auto"/>
        </w:rPr>
      </w:pPr>
      <w:r>
        <w:rPr>
          <w:rFonts w:ascii="Arial" w:cs="Arial" w:eastAsia="Arial" w:hAnsi="Arial"/>
          <w:sz w:val="17"/>
          <w:szCs w:val="17"/>
          <w:color w:val="auto"/>
        </w:rPr>
        <w:t xml:space="preserve">4.28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xml:space="preserve">. Except as disclosed in the SEC Filings or as disclosed on </w:t>
      </w:r>
      <w:r>
        <w:rPr>
          <w:rFonts w:ascii="Arial" w:cs="Arial" w:eastAsia="Arial" w:hAnsi="Arial"/>
          <w:sz w:val="17"/>
          <w:szCs w:val="17"/>
          <w:u w:val="single" w:color="auto"/>
          <w:color w:val="auto"/>
        </w:rPr>
        <w:t>Schedule 4.28</w:t>
      </w:r>
      <w:r>
        <w:rPr>
          <w:rFonts w:ascii="Arial" w:cs="Arial" w:eastAsia="Arial" w:hAnsi="Arial"/>
          <w:sz w:val="17"/>
          <w:szCs w:val="17"/>
          <w:color w:val="auto"/>
        </w:rPr>
        <w:t>, none of the executive officers or directors of the Company and, to the Company’s Knowledge, none of the other officers or employees of the Company is presently a party to any transaction with the Company or any Subsidiary (other than as holders of stock options and/or warrants, and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Company’s Knowledge, any entity in which any officer, director, or any such employee has a substantial interest or is an officer, director, trustee or partner.</w:t>
      </w:r>
    </w:p>
    <w:p>
      <w:pPr>
        <w:spacing w:after="0" w:line="178" w:lineRule="exact"/>
        <w:rPr>
          <w:sz w:val="20"/>
          <w:szCs w:val="20"/>
          <w:color w:val="auto"/>
        </w:rPr>
      </w:pPr>
    </w:p>
    <w:p>
      <w:pPr>
        <w:ind w:right="20" w:firstLine="1102"/>
        <w:spacing w:after="0" w:line="267" w:lineRule="auto"/>
        <w:rPr>
          <w:sz w:val="20"/>
          <w:szCs w:val="20"/>
          <w:color w:val="auto"/>
        </w:rPr>
      </w:pPr>
      <w:r>
        <w:rPr>
          <w:rFonts w:ascii="Arial" w:cs="Arial" w:eastAsia="Arial" w:hAnsi="Arial"/>
          <w:sz w:val="17"/>
          <w:szCs w:val="17"/>
          <w:color w:val="auto"/>
        </w:rPr>
        <w:t xml:space="preserve">4.29 </w:t>
      </w:r>
      <w:r>
        <w:rPr>
          <w:rFonts w:ascii="Arial" w:cs="Arial" w:eastAsia="Arial" w:hAnsi="Arial"/>
          <w:sz w:val="17"/>
          <w:szCs w:val="17"/>
          <w:u w:val="single" w:color="auto"/>
          <w:color w:val="auto"/>
        </w:rPr>
        <w:t>Internal Controls</w:t>
      </w:r>
      <w:r>
        <w:rPr>
          <w:rFonts w:ascii="Arial" w:cs="Arial" w:eastAsia="Arial" w:hAnsi="Arial"/>
          <w:sz w:val="17"/>
          <w:szCs w:val="17"/>
          <w:color w:val="auto"/>
        </w:rPr>
        <w:t>. The Company is in material compliance with the provisions of the Sarbanes-Oxley Act of 2002 currently applicable to the Company.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differences. The Company has established disclosure controls and procedures (as defined in 1934 Act Rules 13a-15(e) and 15d-15(e)) for the Company and designed such disclosure controls and procedures to ensure that material information relating to the Company, including the Subsidiaries, is made known to the certifying officers by others within those entities, particularly during the period in which the Company’s most recently filed periodic report under the 1934 Act, as the case may be, is being prepared. The Company has established internal control over financial reporting (as defined in 1934 Act Rules 13a-15(f) and 15d-15(f)) to provide reasonable assurance regarding the reliability of financial reporting and the preparation of financial statements for external purposes in accordance with GAAP. The Company's certifying officers have evaluated the effectiveness of the Company's disclosure controls and procedures and the Company’s internal control over financial reporting (collectively, “internal controls”) as of the end of the period covered by the most recently filed periodic report under the 1934 Act (such date, the “Evaluation Date”). The Company presented in its most recently filed periodic report under the 1934 Act the conclusions of the certifying officers about the effectiveness of such internal controls based on their evaluations as of the Evaluation Date. Since the Evaluation Date, there have been no significant changes in the Company's internal controls or, to the Company's Knowledge, in other factors that could significantly affect the Company's internal controls. The Company maintains and will continue to maintain a standard system of accounting established and administered in accordance with GAAP and the applicable requirements of the 1934 Act.</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9" w:name="page30"/>
    <w:bookmarkEnd w:id="29"/>
    <w:p>
      <w:pPr>
        <w:ind w:right="120" w:firstLine="1102"/>
        <w:spacing w:after="0" w:line="255" w:lineRule="auto"/>
        <w:rPr>
          <w:sz w:val="20"/>
          <w:szCs w:val="20"/>
          <w:color w:val="auto"/>
        </w:rPr>
      </w:pPr>
      <w:r>
        <w:rPr>
          <w:rFonts w:ascii="Arial" w:cs="Arial" w:eastAsia="Arial" w:hAnsi="Arial"/>
          <w:sz w:val="18"/>
          <w:szCs w:val="18"/>
          <w:color w:val="auto"/>
        </w:rPr>
        <w:t xml:space="preserve">4.30 </w:t>
      </w:r>
      <w:r>
        <w:rPr>
          <w:rFonts w:ascii="Arial" w:cs="Arial" w:eastAsia="Arial" w:hAnsi="Arial"/>
          <w:sz w:val="18"/>
          <w:szCs w:val="18"/>
          <w:u w:val="single" w:color="auto"/>
          <w:color w:val="auto"/>
        </w:rPr>
        <w:t>Disclosures</w:t>
      </w:r>
      <w:r>
        <w:rPr>
          <w:rFonts w:ascii="Arial" w:cs="Arial" w:eastAsia="Arial" w:hAnsi="Arial"/>
          <w:sz w:val="18"/>
          <w:szCs w:val="18"/>
          <w:color w:val="auto"/>
        </w:rPr>
        <w:t>. Neither the Company nor any Person acting on its behalf has provided the Investors or their agents or counsel with any information that constitutes or might constitute material, non-public information, other than (i) the terms of the transactions contemplated hereby, (ii) the specific terms of the Reverse Split, and (iii) preliminary information on the Company’s expected results for the quarter ended March 31, 2018 (collectively, the “Disclosures”). The written materials delivered to the Investors in connection with the transactions contemplated by the Transaction Documents do not contain any untrue statement of a material fact or omit to state a material fact necessary in order to make the statements contained therein, in light of the circumstances under which they were made, not misleading.</w:t>
      </w:r>
    </w:p>
    <w:p>
      <w:pPr>
        <w:spacing w:after="0" w:line="193" w:lineRule="exact"/>
        <w:rPr>
          <w:sz w:val="20"/>
          <w:szCs w:val="20"/>
          <w:color w:val="auto"/>
        </w:rPr>
      </w:pPr>
    </w:p>
    <w:p>
      <w:pPr>
        <w:ind w:firstLine="1102"/>
        <w:spacing w:after="0" w:line="308"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is not required to be registered as, and is not an Affiliate of, and immediately following the Closing will not be required to register as, an “investment company” within the meaning of the Investment Company Act of 1940, as amended.</w:t>
      </w:r>
    </w:p>
    <w:p>
      <w:pPr>
        <w:spacing w:after="0" w:line="147" w:lineRule="exact"/>
        <w:rPr>
          <w:sz w:val="20"/>
          <w:szCs w:val="20"/>
          <w:color w:val="auto"/>
        </w:rPr>
      </w:pPr>
    </w:p>
    <w:p>
      <w:pPr>
        <w:ind w:firstLine="1102"/>
        <w:spacing w:after="0" w:line="297"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No Fiduciary</w:t>
      </w:r>
      <w:r>
        <w:rPr>
          <w:rFonts w:ascii="Arial" w:cs="Arial" w:eastAsia="Arial" w:hAnsi="Arial"/>
          <w:sz w:val="16"/>
          <w:szCs w:val="16"/>
          <w:color w:val="auto"/>
        </w:rPr>
        <w:t>. The Company acknowledges that none of the Investors is acting as a financial advisor or fiduciary of the Company (or in any similar capacity) with respect to this Agreement, the other Transaction Documents and the transactions contemplated hereby and thereby, and any advice or other guidance provided by any Investor or any of its representatives and agents with respect to this Agreement, the other Transaction Documents and the transactions contemplated hereby and thereby is merely incidental to such Investor’s entry into such transactions. The Company’s decision to enter into this Agreement and the other Transaction Documents has been based solely on the independent evaluation by the Company and its representatives and agents.</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u w:val="single" w:color="auto"/>
          <w:color w:val="auto"/>
        </w:rPr>
        <w:t>Representations and Warranties of the Investors</w:t>
      </w:r>
      <w:r>
        <w:rPr>
          <w:rFonts w:ascii="Arial" w:cs="Arial" w:eastAsia="Arial" w:hAnsi="Arial"/>
          <w:sz w:val="16"/>
          <w:szCs w:val="16"/>
          <w:color w:val="auto"/>
        </w:rPr>
        <w:t>. Each of the Investors hereby severally, and not jointly, represents and warrants to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ind w:right="280" w:firstLine="1102"/>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Organization and Existence</w:t>
      </w:r>
      <w:r>
        <w:rPr>
          <w:rFonts w:ascii="Arial" w:cs="Arial" w:eastAsia="Arial" w:hAnsi="Arial"/>
          <w:sz w:val="17"/>
          <w:szCs w:val="17"/>
          <w:color w:val="auto"/>
        </w:rPr>
        <w:t>. Such Investor is a validly existing corporation, limited partnership or limited liability company and has all requisite corporate, partnership or limited liability company power and authority to invest in the Shares pursuant to this Agreement.</w:t>
      </w:r>
    </w:p>
    <w:p>
      <w:pPr>
        <w:spacing w:after="0" w:line="147" w:lineRule="exact"/>
        <w:rPr>
          <w:sz w:val="20"/>
          <w:szCs w:val="20"/>
          <w:color w:val="auto"/>
        </w:rPr>
      </w:pPr>
    </w:p>
    <w:p>
      <w:pPr>
        <w:ind w:right="120" w:firstLine="1102"/>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Authorization</w:t>
      </w:r>
      <w:r>
        <w:rPr>
          <w:rFonts w:ascii="Arial" w:cs="Arial" w:eastAsia="Arial" w:hAnsi="Arial"/>
          <w:sz w:val="18"/>
          <w:szCs w:val="18"/>
          <w:color w:val="auto"/>
        </w:rPr>
        <w:t>. The execution, delivery and performance by such Investor of the Transaction Documents to which such Investor is a party have been duly authorized and each will constitute the valid and legally binding obligation of such Investor, enforceable against such Investor in accordance with their respective terms, subject to bankruptcy, insolvency, fraudulent transfer, reorganization, moratorium and similar laws of general applicability, relating to or affecting creditors’ rights generally and to general equity principles.</w:t>
      </w:r>
    </w:p>
    <w:p>
      <w:pPr>
        <w:spacing w:after="0" w:line="187" w:lineRule="exact"/>
        <w:rPr>
          <w:sz w:val="20"/>
          <w:szCs w:val="20"/>
          <w:color w:val="auto"/>
        </w:rPr>
      </w:pPr>
    </w:p>
    <w:p>
      <w:pPr>
        <w:ind w:right="120" w:firstLine="1102"/>
        <w:spacing w:after="0" w:line="29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Purchase Entirely for Own Account</w:t>
      </w:r>
      <w:r>
        <w:rPr>
          <w:rFonts w:ascii="Arial" w:cs="Arial" w:eastAsia="Arial" w:hAnsi="Arial"/>
          <w:sz w:val="16"/>
          <w:szCs w:val="16"/>
          <w:color w:val="auto"/>
        </w:rPr>
        <w:t>. The Shares to be received by such Investor hereunder will be acquired for such Investor’s own account, not as nominee or agent, and not with a view to the resale or distribution of any part thereof in violation of the 1933 Act, and such Investor has no present intention of selling, granting any participation in, or otherwise distributing the same in violation of the 1933 Act without prejudice, however, to such Investor’s right at all times to sell or otherwise dispose of all or any part of such Shares in compliance with applicable federal and state securities laws</w:t>
      </w:r>
      <w:r>
        <w:rPr>
          <w:rFonts w:ascii="Arial" w:cs="Arial" w:eastAsia="Arial" w:hAnsi="Arial"/>
          <w:sz w:val="16"/>
          <w:szCs w:val="16"/>
          <w:b w:val="1"/>
          <w:bCs w:val="1"/>
          <w:color w:val="auto"/>
        </w:rPr>
        <w:t>.</w:t>
      </w:r>
      <w:r>
        <w:rPr>
          <w:rFonts w:ascii="Arial" w:cs="Arial" w:eastAsia="Arial" w:hAnsi="Arial"/>
          <w:sz w:val="16"/>
          <w:szCs w:val="16"/>
          <w:color w:val="auto"/>
        </w:rPr>
        <w:t xml:space="preserve"> Nothing contained herein shall be deemed a representation or warranty by such Investor to hold the Shares for any period of time. Such Investor is not a broker-dealer registered with the SEC under the 1934 Act or an entity engaged in a business that would require it to be so registered.</w:t>
      </w:r>
    </w:p>
    <w:p>
      <w:pPr>
        <w:spacing w:after="0" w:line="165" w:lineRule="exact"/>
        <w:rPr>
          <w:sz w:val="20"/>
          <w:szCs w:val="20"/>
          <w:color w:val="auto"/>
        </w:rPr>
      </w:pPr>
    </w:p>
    <w:p>
      <w:pPr>
        <w:jc w:val="both"/>
        <w:ind w:right="200" w:firstLine="1102"/>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Investment Experience</w:t>
      </w:r>
      <w:r>
        <w:rPr>
          <w:rFonts w:ascii="Arial" w:cs="Arial" w:eastAsia="Arial" w:hAnsi="Arial"/>
          <w:sz w:val="18"/>
          <w:szCs w:val="18"/>
          <w:color w:val="auto"/>
        </w:rPr>
        <w:t>. Such Investor acknowledges that it can bear the economic risk and complete loss of its investment in the Shares and has such knowledge and experience in financial or business matters that it is capable of evaluating the merits and risks of the investment contemplated hereby.</w:t>
      </w:r>
    </w:p>
    <w:p>
      <w:pPr>
        <w:spacing w:after="0" w:line="181" w:lineRule="exact"/>
        <w:rPr>
          <w:sz w:val="20"/>
          <w:szCs w:val="20"/>
          <w:color w:val="auto"/>
        </w:rPr>
      </w:pPr>
    </w:p>
    <w:p>
      <w:pPr>
        <w:ind w:right="20" w:firstLine="1102"/>
        <w:spacing w:after="0" w:line="30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Such Investor has had an opportunity to receive all information related to the Company requested by it and to ask questions of and receive answers from the Company regarding the Company, its business and the terms and conditions of the offering of the Shares. Such Investor acknowledges receipt of copies of the SEC Filings. Neither such inquiries nor any other due diligence investigation conducted by such Investor shall modify, limit or otherwise affect such Investor’s right to rely on the Company’s representations and warranties contained in this Agreement.</w:t>
      </w:r>
    </w:p>
    <w:p>
      <w:pPr>
        <w:spacing w:after="0" w:line="154" w:lineRule="exact"/>
        <w:rPr>
          <w:sz w:val="20"/>
          <w:szCs w:val="20"/>
          <w:color w:val="auto"/>
        </w:rPr>
      </w:pPr>
    </w:p>
    <w:p>
      <w:pPr>
        <w:ind w:firstLine="1102"/>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Such Investor understands that the Shares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1933 Act only in certain limited circumstances.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1" w:name="page32"/>
    <w:bookmarkEnd w:id="31"/>
    <w:p>
      <w:pPr>
        <w:ind w:left="1120"/>
        <w:spacing w:after="0"/>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Legends</w:t>
      </w:r>
      <w:r>
        <w:rPr>
          <w:rFonts w:ascii="Arial" w:cs="Arial" w:eastAsia="Arial" w:hAnsi="Arial"/>
          <w:sz w:val="16"/>
          <w:szCs w:val="16"/>
          <w:color w:val="auto"/>
        </w:rPr>
        <w:t>. It is understood that, except as provided below, certificates evidencing the Shares may bear the following or any similar legend:</w:t>
      </w:r>
    </w:p>
    <w:p>
      <w:pPr>
        <w:spacing w:after="0" w:line="248" w:lineRule="exact"/>
        <w:rPr>
          <w:sz w:val="20"/>
          <w:szCs w:val="20"/>
          <w:color w:val="auto"/>
        </w:rPr>
      </w:pPr>
    </w:p>
    <w:p>
      <w:pPr>
        <w:ind w:right="140" w:firstLine="1499"/>
        <w:spacing w:after="0" w:line="257" w:lineRule="auto"/>
        <w:tabs>
          <w:tab w:leader="none" w:pos="17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securities represented hereby have not been registered with the Securities and Exchange Commission or the securities commission of any state in reliance upon an exemption from registration under the Securities Act of 1933, as amended, and, accordingly, may not be transferred unless (i) such securities have been registered for sale pursuant to the Securities Act of 1933, as amended, (ii) such securities are sold pursuant to Rule 144, or (iii) the Company has received an opinion of counsel reasonably satisfactory to it that such transfer may lawfully be made without registration under the Securities Act of 1933, as amended.”</w:t>
      </w:r>
    </w:p>
    <w:p>
      <w:pPr>
        <w:spacing w:after="0" w:line="188" w:lineRule="exact"/>
        <w:rPr>
          <w:rFonts w:ascii="Arial" w:cs="Arial" w:eastAsia="Arial" w:hAnsi="Arial"/>
          <w:sz w:val="18"/>
          <w:szCs w:val="18"/>
          <w:color w:val="auto"/>
        </w:rPr>
      </w:pPr>
    </w:p>
    <w:p>
      <w:pPr>
        <w:ind w:left="1760" w:hanging="261"/>
        <w:spacing w:after="0"/>
        <w:tabs>
          <w:tab w:leader="none" w:pos="1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required by the authorities of any state in connection with the issuance of sale of the Shares, the legend required by such state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authority.</w:t>
      </w:r>
    </w:p>
    <w:p>
      <w:pPr>
        <w:spacing w:after="0" w:line="211" w:lineRule="exact"/>
        <w:rPr>
          <w:sz w:val="20"/>
          <w:szCs w:val="20"/>
          <w:color w:val="auto"/>
        </w:rPr>
      </w:pPr>
    </w:p>
    <w:p>
      <w:pPr>
        <w:jc w:val="both"/>
        <w:ind w:right="20" w:firstLine="1102"/>
        <w:spacing w:after="0" w:line="288"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Investor Status</w:t>
      </w:r>
      <w:r>
        <w:rPr>
          <w:rFonts w:ascii="Arial" w:cs="Arial" w:eastAsia="Arial" w:hAnsi="Arial"/>
          <w:sz w:val="16"/>
          <w:szCs w:val="16"/>
          <w:color w:val="auto"/>
        </w:rPr>
        <w:t>. At the time such Investor was offered the Shares, it was, and at the date hereof it is, (i) an “accredited investor” as defined in Rule 501(a) under the 1933 Act and (ii) an “institutional investor” as defined in Financial Industry Regulatory Authority Rule 5110(d)(4)(B). Such Investor is not a registered broker dealer registered under Section 15(a) of the Exchange Act, or a member of the Financial Industry Regulatory Authority, Inc.</w:t>
      </w:r>
    </w:p>
    <w:p>
      <w:pPr>
        <w:ind w:right="60"/>
        <w:spacing w:after="0" w:line="254" w:lineRule="auto"/>
        <w:rPr>
          <w:sz w:val="20"/>
          <w:szCs w:val="20"/>
          <w:color w:val="auto"/>
        </w:rPr>
      </w:pPr>
      <w:r>
        <w:rPr>
          <w:rFonts w:ascii="Arial" w:cs="Arial" w:eastAsia="Arial" w:hAnsi="Arial"/>
          <w:sz w:val="18"/>
          <w:szCs w:val="18"/>
          <w:color w:val="auto"/>
        </w:rPr>
        <w:t>(“FINRA”) or an entity engaged in the business of being a broker dealer. Except as otherwise disclosed in writing to the Company on or prior to the date of this Agreement, such Investor is not affiliated with any broker dealer registered under Section 15(a) of the 1934 Act, or a member of FINRA or an entity engaged in the business of being a broker dealer. Such Investor maintains his or her principal residence (in the case of an individual) or its principal executive office (in the case of an entity) at the location specified on its signature page hereto.</w:t>
      </w:r>
    </w:p>
    <w:p>
      <w:pPr>
        <w:spacing w:after="0" w:line="19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No General Solicitation</w:t>
      </w:r>
      <w:r>
        <w:rPr>
          <w:rFonts w:ascii="Arial" w:cs="Arial" w:eastAsia="Arial" w:hAnsi="Arial"/>
          <w:sz w:val="17"/>
          <w:szCs w:val="17"/>
          <w:color w:val="auto"/>
        </w:rPr>
        <w:t>. Such Investor did not learn of the investment in the Shares as a result of any general solicitation or general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211" w:lineRule="exact"/>
        <w:rPr>
          <w:sz w:val="20"/>
          <w:szCs w:val="20"/>
          <w:color w:val="auto"/>
        </w:rPr>
      </w:pPr>
    </w:p>
    <w:p>
      <w:pPr>
        <w:ind w:right="320" w:firstLine="1102"/>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Brokers and Finders</w:t>
      </w:r>
      <w:r>
        <w:rPr>
          <w:rFonts w:ascii="Arial" w:cs="Arial" w:eastAsia="Arial" w:hAnsi="Arial"/>
          <w:sz w:val="18"/>
          <w:szCs w:val="18"/>
          <w:color w:val="auto"/>
        </w:rPr>
        <w:t>. No Person will have, as a result of the transactions contemplated by the Transaction Documents, any valid right, interest or claim against or upon the Company, any Subsidiary or an Investor for any commission, fee or other compensation pursuant to any agreement, arrangement or understanding entered into by or on behalf of such Investor.</w:t>
      </w:r>
    </w:p>
    <w:p>
      <w:pPr>
        <w:spacing w:after="0" w:line="181" w:lineRule="exact"/>
        <w:rPr>
          <w:sz w:val="20"/>
          <w:szCs w:val="20"/>
          <w:color w:val="auto"/>
        </w:rPr>
      </w:pPr>
    </w:p>
    <w:p>
      <w:pPr>
        <w:ind w:firstLine="1102"/>
        <w:spacing w:after="0" w:line="252"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Prohibited Transactions</w:t>
      </w:r>
      <w:r>
        <w:rPr>
          <w:rFonts w:ascii="Arial" w:cs="Arial" w:eastAsia="Arial" w:hAnsi="Arial"/>
          <w:sz w:val="18"/>
          <w:szCs w:val="18"/>
          <w:color w:val="auto"/>
        </w:rPr>
        <w:t>. Since the earlier of (a) such time as such Investor was first contacted by the Company or any other Person acting on behalf of the Company regarding the transactions contemplated hereby or (b) thirty (30) days prior to the date hereof, neither such Investor nor any Affiliate of such Investor which (x) had knowledge of the transactions contemplated hereby, (y) has or shares discretion relating to such Investor’s investments or trading or information concerning such Investor’s investments, including in respect of the Shares, or (z) is subject to such Investor’s review or input concerning such Affiliate’s investments or trading (collectively, “Trading Affiliates”) has, directly or indirectly, effected or agreed to effect any purchases or sales of the Common Stock, short sale, whether or not against the box, established any “put equivalent position” (as defined in Rule 16a-1(h) under the 1934 Act) with respect to the Common Stock, granted any other right (including, without limitation, any put or call option) with respect to the Common Stock or with respect to any security that includes, relates to or derived any significant part of its value from the Common Stock or otherwise sought to hedge its position in the Shares (each, a “Prohibited Transaction”). Prior to the earliest to occur of (i) the termination of this Agreement, (ii) the Effective Date or (iii) the Effectiveness Deadline, such Investor shall not, and shall cause its Trading Affiliates not to, engage, directly or indirectly, in a Prohibited Transaction, other than purchases and sales of shares of Common Stock other than the Shares. Such Investor acknowledges that the representations, warranties and covenants contained in this Section 5.11 are being made for the benefit of the Investors as well as the Company and that each of the other Investors shall have an independent right to assert any claims against such Investor arising out of any breach or violation of the provisions of this Section 5.11.</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right="40" w:firstLine="1102"/>
        <w:spacing w:after="0" w:line="312"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The Agent</w:t>
      </w:r>
      <w:r>
        <w:rPr>
          <w:rFonts w:ascii="Arial" w:cs="Arial" w:eastAsia="Arial" w:hAnsi="Arial"/>
          <w:sz w:val="16"/>
          <w:szCs w:val="16"/>
          <w:color w:val="auto"/>
        </w:rPr>
        <w:t>. Such Investor understands that the Agent has acted solely as the agent of the Company in the placement of the Shares, and that the Agent makes no representation or warranty with regard to the merits of this transaction or as to the accuracy of any information such Investor may have received in connection therewith. Such Investor acknowledges that it has not relied on any information or advice furnished by or on behalf of the Agent.</w:t>
      </w:r>
    </w:p>
    <w:p>
      <w:pPr>
        <w:spacing w:after="0" w:line="147" w:lineRule="exact"/>
        <w:rPr>
          <w:sz w:val="20"/>
          <w:szCs w:val="20"/>
          <w:color w:val="auto"/>
        </w:rPr>
      </w:pPr>
    </w:p>
    <w:p>
      <w:pPr>
        <w:ind w:firstLine="1102"/>
        <w:spacing w:after="0" w:line="302"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No Legal Advice From the Company</w:t>
      </w:r>
      <w:r>
        <w:rPr>
          <w:rFonts w:ascii="Arial" w:cs="Arial" w:eastAsia="Arial" w:hAnsi="Arial"/>
          <w:sz w:val="16"/>
          <w:szCs w:val="16"/>
          <w:color w:val="auto"/>
        </w:rPr>
        <w:t>. Such Investor acknowledges, that it had the opportunity to review this Agreement and the transactions contemplated by this Agreement with its own legal counsel and investment and tax advisors. Such Investor is relying solely on such counsel and advisors and not on any statements or representations of the Company or any of its representatives or agents for legal, tax or investment advice with respect to this investment, the transactions contemplated by this Agreement or the securities laws of any jurisdiction, other than as expressly set forth in this Agreement.</w:t>
      </w:r>
    </w:p>
    <w:p>
      <w:pPr>
        <w:spacing w:after="0" w:line="154" w:lineRule="exact"/>
        <w:rPr>
          <w:sz w:val="20"/>
          <w:szCs w:val="20"/>
          <w:color w:val="auto"/>
        </w:rPr>
      </w:pPr>
    </w:p>
    <w:p>
      <w:pPr>
        <w:ind w:right="680" w:firstLine="1102"/>
        <w:spacing w:after="0" w:line="27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Regulation M</w:t>
      </w:r>
      <w:r>
        <w:rPr>
          <w:rFonts w:ascii="Arial" w:cs="Arial" w:eastAsia="Arial" w:hAnsi="Arial"/>
          <w:sz w:val="18"/>
          <w:szCs w:val="18"/>
          <w:color w:val="auto"/>
        </w:rPr>
        <w:t>. Such Investor is aware that the anti-manipulation rules of Regulation M under the 1934 Act may apply to sales of Common Stock and other activities with respect to the Common Stock by the Investors.</w:t>
      </w:r>
    </w:p>
    <w:p>
      <w:pPr>
        <w:spacing w:after="0" w:line="170" w:lineRule="exact"/>
        <w:rPr>
          <w:sz w:val="20"/>
          <w:szCs w:val="20"/>
          <w:color w:val="auto"/>
        </w:rPr>
      </w:pPr>
    </w:p>
    <w:p>
      <w:pPr>
        <w:ind w:left="840" w:hanging="18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Conditions to Closing</w:t>
      </w:r>
      <w:r>
        <w:rPr>
          <w:rFonts w:ascii="Arial" w:cs="Arial" w:eastAsia="Arial" w:hAnsi="Arial"/>
          <w:sz w:val="18"/>
          <w:szCs w:val="18"/>
          <w:color w:val="auto"/>
        </w:rPr>
        <w:t>.</w:t>
      </w:r>
    </w:p>
    <w:p>
      <w:pPr>
        <w:spacing w:after="0" w:line="225" w:lineRule="exact"/>
        <w:rPr>
          <w:sz w:val="20"/>
          <w:szCs w:val="20"/>
          <w:color w:val="auto"/>
        </w:rPr>
      </w:pPr>
    </w:p>
    <w:p>
      <w:pPr>
        <w:ind w:firstLine="1102"/>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to the Investors’ Obligations</w:t>
      </w:r>
      <w:r>
        <w:rPr>
          <w:rFonts w:ascii="Arial" w:cs="Arial" w:eastAsia="Arial" w:hAnsi="Arial"/>
          <w:sz w:val="18"/>
          <w:szCs w:val="18"/>
          <w:color w:val="auto"/>
        </w:rPr>
        <w:t>. The obligation of each Investor to purchase the Shares at the Closing is subject to the satisfaction, on or prior to the Closing Date, of the following conditions, any of which may be waived by such Investor (as to itself only):</w:t>
      </w:r>
    </w:p>
    <w:p>
      <w:pPr>
        <w:spacing w:after="0" w:line="170" w:lineRule="exact"/>
        <w:rPr>
          <w:sz w:val="20"/>
          <w:szCs w:val="20"/>
          <w:color w:val="auto"/>
        </w:rPr>
      </w:pPr>
    </w:p>
    <w:p>
      <w:pPr>
        <w:ind w:firstLine="1499"/>
        <w:spacing w:after="0" w:line="255" w:lineRule="auto"/>
        <w:tabs>
          <w:tab w:leader="none" w:pos="17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representations and warranties made by the Company in Section 4 hereof qualified as to materiality shall be true and correct at all times prior to and on the Closing Date, except to the extent any such representation or warranty expressly speaks as of an earlier date, in which case such representation or warranty shall be true and correct as of such earlier date, and the representations and warranties made by the Company in Section 4 hereof not qualified as to materiality shall be true and correct in all material respects at all times prior to and on the Closing Date, except to the extent any such representation or warranty expressly speaks as of an earlier date, in which case such representation or warranty shall be true and correct in all material respects as of such earlier date. The Company shall have performed in all material respects all obligations and covenants herein required to be performed by it on or prior to the Closing Date.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3" w:name="page34"/>
    <w:bookmarkEnd w:id="33"/>
    <w:p>
      <w:pPr>
        <w:jc w:val="both"/>
        <w:ind w:left="-100" w:right="20" w:firstLine="1499"/>
        <w:spacing w:after="0" w:line="264" w:lineRule="auto"/>
        <w:tabs>
          <w:tab w:leader="none" w:pos="1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shall have obtained any and all consents, permits, approvals, registrations and waivers necessary for consummation of the purchase and sale of the Shares and the consummation of the other transactions contemplated hereby to be consummated on or prior to the Closing, all of which shall be in full force and effect.</w:t>
      </w:r>
    </w:p>
    <w:p>
      <w:pPr>
        <w:spacing w:after="0" w:line="181" w:lineRule="exact"/>
        <w:rPr>
          <w:rFonts w:ascii="Arial" w:cs="Arial" w:eastAsia="Arial" w:hAnsi="Arial"/>
          <w:sz w:val="18"/>
          <w:szCs w:val="18"/>
          <w:color w:val="auto"/>
        </w:rPr>
      </w:pPr>
    </w:p>
    <w:p>
      <w:pPr>
        <w:ind w:left="1640" w:hanging="241"/>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shall have executed and delivered the Registration Rights Agreement.</w:t>
      </w:r>
    </w:p>
    <w:p>
      <w:pPr>
        <w:spacing w:after="0" w:line="225" w:lineRule="exact"/>
        <w:rPr>
          <w:rFonts w:ascii="Arial" w:cs="Arial" w:eastAsia="Arial" w:hAnsi="Arial"/>
          <w:sz w:val="18"/>
          <w:szCs w:val="18"/>
          <w:color w:val="auto"/>
        </w:rPr>
      </w:pPr>
    </w:p>
    <w:p>
      <w:pPr>
        <w:ind w:left="-100" w:right="240" w:firstLine="1499"/>
        <w:spacing w:after="0" w:line="312" w:lineRule="auto"/>
        <w:tabs>
          <w:tab w:leader="none" w:pos="16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Documents.</w:t>
      </w:r>
    </w:p>
    <w:p>
      <w:pPr>
        <w:spacing w:after="0" w:line="146" w:lineRule="exact"/>
        <w:rPr>
          <w:rFonts w:ascii="Arial" w:cs="Arial" w:eastAsia="Arial" w:hAnsi="Arial"/>
          <w:sz w:val="16"/>
          <w:szCs w:val="16"/>
          <w:color w:val="auto"/>
        </w:rPr>
      </w:pPr>
    </w:p>
    <w:p>
      <w:pPr>
        <w:ind w:left="-100" w:right="120" w:firstLine="1499"/>
        <w:spacing w:after="0" w:line="342" w:lineRule="auto"/>
        <w:tabs>
          <w:tab w:leader="none" w:pos="16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shall have delivered a Certificate, executed on behalf of the Company by its Chief Executive Officer or its Chief Financial Officer, dated as of the Closing Date, certifying to the fulfillment of the conditions specified in subsections (a), (b), (d) and (h) of this Section 6.1.</w:t>
      </w:r>
    </w:p>
    <w:p>
      <w:pPr>
        <w:spacing w:after="0" w:line="123" w:lineRule="exact"/>
        <w:rPr>
          <w:rFonts w:ascii="Arial" w:cs="Arial" w:eastAsia="Arial" w:hAnsi="Arial"/>
          <w:sz w:val="16"/>
          <w:szCs w:val="16"/>
          <w:color w:val="auto"/>
        </w:rPr>
      </w:pPr>
    </w:p>
    <w:p>
      <w:pPr>
        <w:ind w:left="-100" w:firstLine="1499"/>
        <w:spacing w:after="0" w:line="257" w:lineRule="auto"/>
        <w:tabs>
          <w:tab w:leader="none" w:pos="16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shall have delivered a Certificate, executed on behalf of the Company by its Secretary, dated as of the Closing Date, certifying the resolutions adopted by the Board of Directors of the Company, or a duly appointed committee thereof, approving the transactions contemplated by this Agreement and the other Transaction Documents, the issuance of the Shares and the Reverse Split, certifying the current versions of the Articles of Incorporation and Bylaws of the Company and certifying as to the signatures and authority of persons signing the Transaction Documents and related documents on behalf of the Company.</w:t>
      </w:r>
    </w:p>
    <w:p>
      <w:pPr>
        <w:spacing w:after="0" w:line="188" w:lineRule="exact"/>
        <w:rPr>
          <w:sz w:val="20"/>
          <w:szCs w:val="20"/>
          <w:color w:val="auto"/>
        </w:rPr>
      </w:pPr>
    </w:p>
    <w:p>
      <w:pPr>
        <w:ind w:left="-100" w:right="60" w:firstLine="1499"/>
        <w:spacing w:after="0" w:line="264" w:lineRule="auto"/>
        <w:tabs>
          <w:tab w:leader="none" w:pos="1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Investors shall have received opinions from Morgan, Lewis &amp; Bockius LLP, the Company's counsel, and The Doney Law Firm, the Company’s Nevada counsel, each dated as of the Closing Date, in form and substance reasonably acceptable to the Investors and addressing such legal matters as the Investors may reasonably request.</w:t>
      </w:r>
    </w:p>
    <w:p>
      <w:pPr>
        <w:spacing w:after="0" w:line="181" w:lineRule="exact"/>
        <w:rPr>
          <w:rFonts w:ascii="Arial" w:cs="Arial" w:eastAsia="Arial" w:hAnsi="Arial"/>
          <w:sz w:val="18"/>
          <w:szCs w:val="18"/>
          <w:color w:val="auto"/>
        </w:rPr>
      </w:pPr>
    </w:p>
    <w:p>
      <w:pPr>
        <w:ind w:left="-100" w:right="140" w:firstLine="1499"/>
        <w:spacing w:after="0" w:line="277" w:lineRule="auto"/>
        <w:tabs>
          <w:tab w:leader="none" w:pos="16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stop order or suspension of trading shall have been imposed by OTCQB, the SEC or any other governmental or regulatory body with respect to public trading in the Common Stock.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340" w:top="908" w:right="319" w:bottom="1440" w:gutter="0" w:footer="0" w:header="0"/>
        </w:sectPr>
      </w:pPr>
    </w:p>
    <w:bookmarkStart w:id="34" w:name="page35"/>
    <w:bookmarkEnd w:id="34"/>
    <w:p>
      <w:pPr>
        <w:ind w:right="780" w:firstLine="1102"/>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Company's obligation to sell and issue the Shares at the Closing is subject to the satisfaction on or prior to the Closing Date of the following conditions, any of which may be waived by the Company:</w:t>
      </w:r>
    </w:p>
    <w:p>
      <w:pPr>
        <w:spacing w:after="0" w:line="170" w:lineRule="exact"/>
        <w:rPr>
          <w:sz w:val="20"/>
          <w:szCs w:val="20"/>
          <w:color w:val="auto"/>
        </w:rPr>
      </w:pPr>
    </w:p>
    <w:p>
      <w:pPr>
        <w:ind w:right="60" w:firstLine="1499"/>
        <w:spacing w:after="0" w:line="273" w:lineRule="auto"/>
        <w:tabs>
          <w:tab w:leader="none" w:pos="17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representations and warranties made by the Investors in Section 5 hereof, other than the representations and warranties contained in Sections 5.3, 5.4, 5.5, 5.6, 5.7, 5.8, 5.9 and 5.10 (the “Investment Representations”), shall be true and correct in all material respects when made, and shall be true and correct in all material respects on the Closing Date with the same force and effect as if they had been made on and as of said date. The Investment Representations shall be true and correct in all respects when made, and shall be true and correct in all respects on the Closing Date with the same force and effect as if they had been made on and as of said date. The Investors shall have performed in all material respects all obligations and covenants herein required to be performed by them on or prior to the Closing Date.</w:t>
      </w:r>
    </w:p>
    <w:p>
      <w:pPr>
        <w:spacing w:after="0" w:line="178" w:lineRule="exact"/>
        <w:rPr>
          <w:rFonts w:ascii="Arial" w:cs="Arial" w:eastAsia="Arial" w:hAnsi="Arial"/>
          <w:sz w:val="17"/>
          <w:szCs w:val="17"/>
          <w:color w:val="auto"/>
        </w:rPr>
      </w:pPr>
    </w:p>
    <w:p>
      <w:pPr>
        <w:ind w:left="1760" w:hanging="261"/>
        <w:spacing w:after="0"/>
        <w:tabs>
          <w:tab w:leader="none" w:pos="1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Investors shall have executed and delivered the Registration Rights Agreement.</w:t>
      </w:r>
    </w:p>
    <w:p>
      <w:pPr>
        <w:spacing w:after="0" w:line="225" w:lineRule="exact"/>
        <w:rPr>
          <w:rFonts w:ascii="Arial" w:cs="Arial" w:eastAsia="Arial" w:hAnsi="Arial"/>
          <w:sz w:val="18"/>
          <w:szCs w:val="18"/>
          <w:color w:val="auto"/>
        </w:rPr>
      </w:pPr>
    </w:p>
    <w:p>
      <w:pPr>
        <w:ind w:left="1740" w:hanging="241"/>
        <w:spacing w:after="0"/>
        <w:tabs>
          <w:tab w:leader="none" w:pos="1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Investors shall have delivered the Purchase Price to the Company.</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Termination of Obligations to Effect Closing; Effects</w:t>
      </w:r>
      <w:r>
        <w:rPr>
          <w:rFonts w:ascii="Arial" w:cs="Arial" w:eastAsia="Arial" w:hAnsi="Arial"/>
          <w:sz w:val="18"/>
          <w:szCs w:val="18"/>
          <w:color w:val="auto"/>
        </w:rPr>
        <w: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 The obligations of the Company, on the one hand, and the Investors, on the other hand, to effect the Closing shall terminate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2160" w:hanging="207"/>
        <w:spacing w:after="0"/>
        <w:tabs>
          <w:tab w:leader="none" w:pos="2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the mutual written consent of the Company and the Investors;</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By the Company if any of the conditions set forth in Section 6.2 shall have become incapable of fulfillment, and shall not have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been waived by the Company;</w:t>
      </w:r>
    </w:p>
    <w:p>
      <w:pPr>
        <w:spacing w:after="0" w:line="210" w:lineRule="exact"/>
        <w:rPr>
          <w:rFonts w:ascii="Arial" w:cs="Arial" w:eastAsia="Arial" w:hAnsi="Arial"/>
          <w:sz w:val="16"/>
          <w:szCs w:val="16"/>
          <w:color w:val="auto"/>
        </w:rPr>
      </w:pPr>
    </w:p>
    <w:p>
      <w:pPr>
        <w:ind w:right="400" w:firstLine="1953"/>
        <w:spacing w:after="0" w:line="277" w:lineRule="auto"/>
        <w:tabs>
          <w:tab w:leader="none" w:pos="2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an Investor (with respect to itself only) if any of the conditions set forth in Section 6.1 shall have become incapable of fulfillment, and shall not have been waived by the Investor; or</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By either the Company or any Investor (with respect to itself only) if the Closing has not occurred on or prior to May 9, 2018;</w:t>
      </w: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provided, however, that, except in the case of clause (i) above, the party seeking to terminate its obligation to effect the Closing shall not then be in breach of any of its representations, warranties, covenants or agreements contained in this Agreement if such breach has resulted in the circumstances giving rise to such party’s seeking to terminate its obligation to effect the Closing.</w:t>
      </w:r>
    </w:p>
    <w:p>
      <w:pPr>
        <w:spacing w:after="0" w:line="181" w:lineRule="exact"/>
        <w:rPr>
          <w:sz w:val="20"/>
          <w:szCs w:val="20"/>
          <w:color w:val="auto"/>
        </w:rPr>
      </w:pPr>
    </w:p>
    <w:p>
      <w:pPr>
        <w:ind w:firstLine="1499"/>
        <w:spacing w:after="0" w:line="257" w:lineRule="auto"/>
        <w:tabs>
          <w:tab w:leader="none" w:pos="17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event of termination by the Company or any Investor of its obligations to effect the Closing pursuant to this Section 6.3, written notice thereof shall forthwith be given to the other Investors by the Company and the other Investors shall have the right to terminate their obligations to effect the Closing upon written notice to the Company and the other Investors. Nothing in this Section 6.3 shall be deemed to release any party from any liability for any breach by such party of the terms and provisions of this Agreement or to impair the right of any party to compel specific performance by any other party of its obligations under this Agreement or the other Transaction Documents.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Covenants and Agreements of the Company</w:t>
      </w:r>
      <w:r>
        <w:rPr>
          <w:rFonts w:ascii="Arial" w:cs="Arial" w:eastAsia="Arial" w:hAnsi="Arial"/>
          <w:sz w:val="18"/>
          <w:szCs w:val="18"/>
          <w:color w:val="auto"/>
        </w:rPr>
        <w:t>.</w:t>
      </w:r>
    </w:p>
    <w:p>
      <w:pPr>
        <w:spacing w:after="0" w:line="225" w:lineRule="exact"/>
        <w:rPr>
          <w:sz w:val="20"/>
          <w:szCs w:val="20"/>
          <w:color w:val="auto"/>
        </w:rPr>
      </w:pPr>
    </w:p>
    <w:p>
      <w:pPr>
        <w:ind w:right="20" w:firstLine="1102"/>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Reports</w:t>
      </w:r>
      <w:r>
        <w:rPr>
          <w:rFonts w:ascii="Arial" w:cs="Arial" w:eastAsia="Arial" w:hAnsi="Arial"/>
          <w:sz w:val="18"/>
          <w:szCs w:val="18"/>
          <w:color w:val="auto"/>
        </w:rPr>
        <w:t>. The Company will furnish to the Investors and/or their assignees such information relating to the Company and its Subsidiaries as from time to time may reasonably be requested by the Investors and/or their assignees; provided, however, that the Company shall not disclose material nonpublic information to the Investors, or to advisors to or representatives of the Investors, unless prior to disclosure of such information the Company identifies such information as being material nonpublic information and provides the Investors, such advisors and representatives with the opportunity to accept or refuse to accept such material nonpublic information for review and any Investor wishing to obtain such information enters into an appropriate confidentiality agreement with the Company with respect thereto.</w:t>
      </w:r>
    </w:p>
    <w:p>
      <w:pPr>
        <w:spacing w:after="0" w:line="193" w:lineRule="exact"/>
        <w:rPr>
          <w:sz w:val="20"/>
          <w:szCs w:val="20"/>
          <w:color w:val="auto"/>
        </w:rPr>
      </w:pPr>
    </w:p>
    <w:p>
      <w:pPr>
        <w:ind w:firstLine="1102"/>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 Conflicting Agreements</w:t>
      </w:r>
      <w:r>
        <w:rPr>
          <w:rFonts w:ascii="Arial" w:cs="Arial" w:eastAsia="Arial" w:hAnsi="Arial"/>
          <w:sz w:val="18"/>
          <w:szCs w:val="18"/>
          <w:color w:val="auto"/>
        </w:rPr>
        <w:t>. The Company will not take any action, enter into any agreement or make any commitment that would conflict or interfere in any material respect with the Company’s obligations to the Investors under the Transaction Documents.</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7.3 [Intentionally omitted]</w:t>
      </w:r>
    </w:p>
    <w:p>
      <w:pPr>
        <w:spacing w:after="0" w:line="225" w:lineRule="exact"/>
        <w:rPr>
          <w:sz w:val="20"/>
          <w:szCs w:val="20"/>
          <w:color w:val="auto"/>
        </w:rPr>
      </w:pPr>
    </w:p>
    <w:p>
      <w:pPr>
        <w:ind w:right="140" w:firstLine="1102"/>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will comply in all material respects with all applicable laws, rules, regulations, orders and decrees of all governmental authorities.</w:t>
      </w:r>
    </w:p>
    <w:p>
      <w:pPr>
        <w:spacing w:after="0" w:line="170" w:lineRule="exact"/>
        <w:rPr>
          <w:sz w:val="20"/>
          <w:szCs w:val="20"/>
          <w:color w:val="auto"/>
        </w:rPr>
      </w:pPr>
    </w:p>
    <w:p>
      <w:pPr>
        <w:ind w:right="160" w:firstLine="1102"/>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The provisions of Sections 7.1 through 7.4 shall terminate and be of no further force and effect on the date on which the Company’s obligations under the Registration Rights Agreement to register or maintain the effectiveness of any registration covering the Registrable Securities (as such term is defined in the Registration Rights Agreement) shall terminate.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6" w:name="page37"/>
    <w:bookmarkEnd w:id="36"/>
    <w:p>
      <w:pPr>
        <w:ind w:right="20" w:firstLine="1102"/>
        <w:spacing w:after="0" w:line="285"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Removal of Legends</w:t>
      </w:r>
      <w:r>
        <w:rPr>
          <w:rFonts w:ascii="Arial" w:cs="Arial" w:eastAsia="Arial" w:hAnsi="Arial"/>
          <w:sz w:val="16"/>
          <w:szCs w:val="16"/>
          <w:color w:val="auto"/>
        </w:rPr>
        <w:t>. In connection with any sale or disposition of the Shares by an Investor pursuant to Rule 144 or pursuant to any other exemption under the 1933 Act such that the purchaser acquires freely tradable shares and upon compliance by the Investor with the requirements of this Agreement, the Company shall or, in the case of Common Stock, shall cause the transfer agent for the Common Stock (the “Transfer Agent”) to issue replacement certificates representing the Shares sold or disposed of without restrictive legends. Upon the earlier of (i) registration for resale pursuant to the Registration Rights Agreement or (ii) the Shares becoming freely tradable by a non-affiliate pursuant to Rule 144 the Company shall (A) deliver to the Transfer Agent irrevocable instructions that the Transfer Agent shall reissue a certificate representing shares of Common Stock without legends upon receipt by such Transfer Agent of the legended certificates for such shares upon the request of an Investor and (B) cause its counsel to deliver to the Transfer Agent one or more blanket opinions to the effect that the removal of such legends may be effected under the Act. From and after the earlier of such dates, upon an Investor’s written request, the Company shall promptly cause certificates evidencing the Investor’s Shares to be replaced with certificates which do not bear such restrictive legends. When the Company is required to cause an unlegended certificate to replace a previously issued legended certificate, if: (1) the unlegended certificate is not delivered to an Investor within two (2) Trading Days of submission by that Investor of a legended certificate to the Transfer Agent as provided above and (2) prior to the time such unlegended certificate is received by the Investor, the Investor, or any third party on behalf of such Investor or for the Investor’s account, purchases (in an open market transaction or otherwise) shares of Common Stock to deliver in satisfaction of a sale by the Investor of shares represented by such certificate (a “Buy-In”), then the Company shall pay in cash to the Investor (for costs incurred either directly by such Investor or on behalf of a third party) the amount by which the total purchase price paid for Common Stock as a result of the Buy-In (including brokerage commissions, if any) exceeds the proceeds received by such Investor as a result of the sale to which such Buy-In relates. The Investor shall provide the Company written notice indicating the amounts payable to the Investor in respect of the Buy-In. Such payment shall constitute the Investor’s exclusive monetary remedy for a Buy-In, but shall not limit the Investor’s right to pursue any equitable remedies available to it hereunder, including without limitation, a decree of specific performance and/or injunctive relief with respect to the Company’s failure to timely deliver unlegended shares of Common Stock as required pursuant to the terms hereof.</w:t>
      </w:r>
    </w:p>
    <w:p>
      <w:pPr>
        <w:spacing w:after="0" w:line="387" w:lineRule="exact"/>
        <w:rPr>
          <w:sz w:val="20"/>
          <w:szCs w:val="20"/>
          <w:color w:val="auto"/>
        </w:rPr>
      </w:pPr>
    </w:p>
    <w:p>
      <w:pPr>
        <w:ind w:right="220" w:firstLine="1102"/>
        <w:spacing w:after="0" w:line="26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Consummation of Reverse Split</w:t>
      </w:r>
      <w:r>
        <w:rPr>
          <w:rFonts w:ascii="Arial" w:cs="Arial" w:eastAsia="Arial" w:hAnsi="Arial"/>
          <w:sz w:val="18"/>
          <w:szCs w:val="18"/>
          <w:color w:val="auto"/>
        </w:rPr>
        <w:t>. The Company shall use its reasonable best efforts to effect the Reverse Split as promptly as practicable after the date hereof. The Company shall provide to the Investors copies of the filed Certificate of Amendment effecting the Reverse Split as promptly as practicable after the filing thereof with the Secretary of State of Nevada.</w:t>
      </w:r>
    </w:p>
    <w:p>
      <w:pPr>
        <w:spacing w:after="0" w:line="185" w:lineRule="exact"/>
        <w:rPr>
          <w:sz w:val="20"/>
          <w:szCs w:val="20"/>
          <w:color w:val="auto"/>
        </w:rPr>
      </w:pPr>
    </w:p>
    <w:p>
      <w:pPr>
        <w:ind w:right="160" w:firstLine="1102"/>
        <w:spacing w:after="0" w:line="221"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Nasdaq Matters</w:t>
      </w:r>
      <w:r>
        <w:rPr>
          <w:rFonts w:ascii="Arial" w:cs="Arial" w:eastAsia="Arial" w:hAnsi="Arial"/>
          <w:sz w:val="18"/>
          <w:szCs w:val="18"/>
          <w:color w:val="auto"/>
        </w:rPr>
        <w:t>. As soon as practicable, but no later than the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Closing Date, the Company shall (i) cause its Common Stock (including the Shares) to be listed on Nasdaq and (ii) re-constitute its Board of Directors to consist of not less than five members, a majority of whom shall constitute “Independent Directors” as defined in Nasdaq Marketplace Rule 5605(a)(2).</w:t>
      </w:r>
    </w:p>
    <w:p>
      <w:pPr>
        <w:spacing w:after="0" w:line="20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Subsequent Equity Sales; Registration Statements</w:t>
      </w:r>
      <w:r>
        <w:rPr>
          <w:rFonts w:ascii="Arial" w:cs="Arial" w:eastAsia="Arial" w:hAnsi="Arial"/>
          <w:sz w:val="18"/>
          <w:szCs w:val="18"/>
          <w:color w:val="auto"/>
        </w:rPr>
        <w:t>.</w:t>
      </w:r>
    </w:p>
    <w:p>
      <w:pPr>
        <w:spacing w:after="0" w:line="225" w:lineRule="exact"/>
        <w:rPr>
          <w:sz w:val="20"/>
          <w:szCs w:val="20"/>
          <w:color w:val="auto"/>
        </w:rPr>
      </w:pPr>
    </w:p>
    <w:p>
      <w:pPr>
        <w:ind w:firstLine="1110"/>
        <w:spacing w:after="0" w:line="290" w:lineRule="auto"/>
        <w:tabs>
          <w:tab w:leader="none" w:pos="1347" w:val="left"/>
        </w:tabs>
        <w:numPr>
          <w:ilvl w:val="0"/>
          <w:numId w:val="21"/>
        </w:numPr>
        <w:rPr>
          <w:rFonts w:ascii="Arial" w:cs="Arial" w:eastAsia="Arial" w:hAnsi="Arial"/>
          <w:sz w:val="16"/>
          <w:szCs w:val="16"/>
          <w:color w:val="auto"/>
        </w:rPr>
      </w:pPr>
      <w:r>
        <w:rPr>
          <w:rFonts w:ascii="Arial" w:cs="Arial" w:eastAsia="Arial" w:hAnsi="Arial"/>
          <w:sz w:val="16"/>
          <w:szCs w:val="16"/>
          <w:color w:val="auto"/>
        </w:rPr>
        <w:t>From the date hereof until ninety (90) days after the Closing Date, without the consent of the Required Investors, neither the Company nor any Subsidiary shall issue shares of Common Stock or Common Stock Equivalents. Notwithstanding the foregoing, the provisions of this Section 7.9(a) shall not apply to (i) the issuance of the Shares, (ii) the issuance of Common Stock or Common Stock Equivalents upon the conversion or exercise of any securities of the Company or a Subsidiary outstanding on the date hereof, provided that the terms of such security are not amended after the date hereof to decrease the exercise price or increase the Common Stock or Common Stock Equivalents receivable upon the exercise, conversion or exchange thereof or (iii) the issuance of any Common Stock or Common Stock Equivalents (A) pursuant to any Company equity incentive plan approved by the Company’s stockholders and in place as of the date hereof, or (B) if not issued pursuant to a plan described in clause (A), to members of the Company’s Board of Directors in consideration for their service on the Board of Directors, in the ordinary course of business and in amounts and on terms consistent with past practice.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7" w:name="page38"/>
    <w:bookmarkEnd w:id="37"/>
    <w:p>
      <w:pPr>
        <w:ind w:firstLine="1110"/>
        <w:spacing w:after="0" w:line="269" w:lineRule="auto"/>
        <w:tabs>
          <w:tab w:leader="none" w:pos="1357" w:val="left"/>
        </w:tabs>
        <w:numPr>
          <w:ilvl w:val="0"/>
          <w:numId w:val="22"/>
        </w:numPr>
        <w:rPr>
          <w:rFonts w:ascii="Arial" w:cs="Arial" w:eastAsia="Arial" w:hAnsi="Arial"/>
          <w:sz w:val="17"/>
          <w:szCs w:val="17"/>
          <w:color w:val="auto"/>
        </w:rPr>
      </w:pPr>
      <w:r>
        <w:rPr>
          <w:rFonts w:ascii="Arial" w:cs="Arial" w:eastAsia="Arial" w:hAnsi="Arial"/>
          <w:sz w:val="17"/>
          <w:szCs w:val="17"/>
          <w:color w:val="auto"/>
        </w:rPr>
        <w:t>From the date hereof until the earlier of (i) three years from the Closing Date or (ii) such time as no Investor holds any of the Shares, the Company shall be prohibited from effecting or entering into an agreement to effect any “Variable Rate Transaction”. The term “Variable Rate Transaction” shall mean a transaction in which the Company issues or sells (i) any debt or equity securities that are convertible into, exchangeable or exercisable for, or include the right to receive additional shares of Common Stock either (A) at a conversion, exercise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whereby the Company may sell securities at a future determined price. For the avoidance of doubt, the issuance of a security which is subject to customary anti-dilution protections, including where the conversion, exercise or exchange price is subject to adjustment as a result of stock splits, reverse stock splits and other similar recapitalization or reclassification events, shall not be deemed to be a “Variable Rate Transaction.”</w:t>
      </w:r>
    </w:p>
    <w:p>
      <w:pPr>
        <w:spacing w:after="0" w:line="182" w:lineRule="exact"/>
        <w:rPr>
          <w:rFonts w:ascii="Arial" w:cs="Arial" w:eastAsia="Arial" w:hAnsi="Arial"/>
          <w:sz w:val="17"/>
          <w:szCs w:val="17"/>
          <w:color w:val="auto"/>
        </w:rPr>
      </w:pPr>
    </w:p>
    <w:p>
      <w:pPr>
        <w:ind w:right="180" w:firstLine="1110"/>
        <w:spacing w:after="0" w:line="276" w:lineRule="auto"/>
        <w:tabs>
          <w:tab w:leader="none" w:pos="1347"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shall not, and shall use its commercially reasonable efforts to ensure that no Affiliate of the Company shall, sell, offer for sale or solicit offers to buy or otherwise negotiate in respect of any security (as defined in Section 2 of the 1933 Act) that will be integrated with the offer or sale of the Shares in a manner that would require the registration under the 1933 Act of the sale of the Shares to the Investors, or that will be integrated with the offer or sale of the Shares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72" w:lineRule="exact"/>
        <w:rPr>
          <w:rFonts w:ascii="Arial" w:cs="Arial" w:eastAsia="Arial" w:hAnsi="Arial"/>
          <w:sz w:val="17"/>
          <w:szCs w:val="17"/>
          <w:color w:val="auto"/>
        </w:rPr>
      </w:pPr>
    </w:p>
    <w:p>
      <w:pPr>
        <w:jc w:val="both"/>
        <w:ind w:right="280" w:firstLine="1110"/>
        <w:spacing w:after="0" w:line="302" w:lineRule="auto"/>
        <w:tabs>
          <w:tab w:leader="none" w:pos="135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shall not, from the date hereof until ninety (90) days after the Effective Date, prepare and file with the SEC a registration statement relating to an offering for its own account or the account of others under the 1933 Act of any of its equity securities, other than (i) a Registration Statement pursuant to the Registration Rights Agreement or (ii) any registration statement or post-effective amendment to a registration statement (or supplement thereto) relating to the Company’s employee benefit plans registered on Form S-8 or, in connection with an acquisition, on Form S-4.</w:t>
      </w:r>
    </w:p>
    <w:p>
      <w:pPr>
        <w:spacing w:after="0" w:line="154" w:lineRule="exact"/>
        <w:rPr>
          <w:sz w:val="20"/>
          <w:szCs w:val="20"/>
          <w:color w:val="auto"/>
        </w:rPr>
      </w:pPr>
    </w:p>
    <w:p>
      <w:pPr>
        <w:ind w:right="20" w:firstLine="1102"/>
        <w:spacing w:after="0" w:line="257"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Equal Treatment of Investors</w:t>
      </w:r>
      <w:r>
        <w:rPr>
          <w:rFonts w:ascii="Arial" w:cs="Arial" w:eastAsia="Arial" w:hAnsi="Arial"/>
          <w:sz w:val="18"/>
          <w:szCs w:val="18"/>
          <w:color w:val="auto"/>
        </w:rPr>
        <w:t>. No consideration shall be offered or paid to any Person to amend or consent to a waiver or modification of any provision of any of the Transaction Documents unless the same consideration is also offered to all of the Investors. For clarification purposes, this provision constitutes a separate right granted to each Investor by the Company and negotiated separately by each Investor, and is intended for the Company to treat the Investors as a class and shall not in any way be construed as the Investors acting in concert or as a group with respect to the purchase, disposition or voting of Shares or otherwise.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left="840" w:hanging="18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Survival and Indemnification</w:t>
      </w:r>
      <w:r>
        <w:rPr>
          <w:rFonts w:ascii="Arial" w:cs="Arial" w:eastAsia="Arial" w:hAnsi="Arial"/>
          <w:sz w:val="18"/>
          <w:szCs w:val="18"/>
          <w:color w:val="auto"/>
        </w:rPr>
        <w:t>.</w:t>
      </w:r>
    </w:p>
    <w:p>
      <w:pPr>
        <w:spacing w:after="0" w:line="225" w:lineRule="exact"/>
        <w:rPr>
          <w:sz w:val="20"/>
          <w:szCs w:val="20"/>
          <w:color w:val="auto"/>
        </w:rPr>
      </w:pPr>
    </w:p>
    <w:p>
      <w:pPr>
        <w:ind w:right="740" w:firstLine="1102"/>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covenants and agreements contained in this Agreement shall survive the Closing of the transactions contemplated by this Agreement.</w:t>
      </w:r>
    </w:p>
    <w:p>
      <w:pPr>
        <w:spacing w:after="0" w:line="170" w:lineRule="exact"/>
        <w:rPr>
          <w:sz w:val="20"/>
          <w:szCs w:val="20"/>
          <w:color w:val="auto"/>
        </w:rPr>
      </w:pPr>
    </w:p>
    <w:p>
      <w:pPr>
        <w:ind w:right="60" w:firstLine="1102"/>
        <w:spacing w:after="0" w:line="293"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agrees to indemnify and hold harmless each Investor and its Affiliates and their respective directors, officers, trustees, partners, members, managers, employees and agents, and their respective successors and assigns, from and against any and all losses, claims, damages, liabilities and expenses (including without limitation reasonable attorney fees and disbursements and other expenses incurred in connection with investigating, preparing or defending any action, claim or proceeding, pending or threatened and the costs of enforcement thereof) (collectively, “Losses”) to which such Person may become subject as a result of any breach of representation, warranty, covenant or agreement made by or to be performed on the part of the Company under the Transaction Documents, and will reimburse any such Person for all such amounts as they are incurred by such Person.</w:t>
      </w:r>
    </w:p>
    <w:p>
      <w:pPr>
        <w:spacing w:after="0" w:line="165" w:lineRule="exact"/>
        <w:rPr>
          <w:sz w:val="20"/>
          <w:szCs w:val="20"/>
          <w:color w:val="auto"/>
        </w:rPr>
      </w:pPr>
    </w:p>
    <w:p>
      <w:pPr>
        <w:ind w:firstLine="1102"/>
        <w:spacing w:after="0" w:line="28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Conduct of Indemnification Proceedings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Any person entitled to indemnification hereunder shall (i) give prompt notice to the indemnifying party of any claim with respect to which it seeks indemnification and (ii) permit such indemnifying party to assume the defense of such claim with counsel reasonably satisfactory to the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or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left="840" w:hanging="184"/>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firstLine="1102"/>
        <w:spacing w:after="0" w:line="28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may not be assigned by a party hereto without the prior written consent of the Company or the Required Investors, as applicable, provided, however, that an Investor may assign its rights and delegate its duties hereunder in whole or in part to an Affiliate or to a third party acquiring some or all of its Shares in a transaction complying with applicable securities laws without the prior written consent of the Company or the other Investors. The provisions of this Agreement shall inure to the benefit of and be binding upon the respective permitted successors and assigns of the parties. Without limiting the generality of the foregoing,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“Shares” shall be deemed to refer to the securities received by the Investors in connection with such transaction.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69" w:lineRule="exact"/>
        <w:rPr>
          <w:sz w:val="20"/>
          <w:szCs w:val="20"/>
          <w:color w:val="auto"/>
        </w:rPr>
      </w:pPr>
    </w:p>
    <w:p>
      <w:pPr>
        <w:jc w:val="both"/>
        <w:ind w:right="140" w:firstLine="1102"/>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Counterparts; Faxes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This Agreement may be delivered by facsimile or other form of electronic transmission, which shall be deemed an original.</w:t>
      </w:r>
    </w:p>
    <w:p>
      <w:pPr>
        <w:spacing w:after="0" w:line="181" w:lineRule="exact"/>
        <w:rPr>
          <w:sz w:val="20"/>
          <w:szCs w:val="20"/>
          <w:color w:val="auto"/>
        </w:rPr>
      </w:pPr>
    </w:p>
    <w:p>
      <w:pPr>
        <w:ind w:right="740" w:firstLine="1102"/>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sz w:val="20"/>
          <w:szCs w:val="20"/>
          <w:color w:val="auto"/>
        </w:rPr>
      </w:pPr>
    </w:p>
    <w:p>
      <w:pPr>
        <w:ind w:firstLine="1102"/>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provided, any notice required or permitted under this Agreement shall be given in writing and shall be deemed effectively given as hereinafter described (i) if given by personal delivery, then such notice shall be deemed given upon such delivery, (ii) if given by telex or telecopier, then such notice shall be deemed given upon receipt of confirmation of complete transmittal, (iii) if given by mail, then such notice shall be deemed given upon the earlier of (A) receipt of such notice by the recipient or (B) three days after such notice is deposited in first class mail, postage prepaid, and (iv) if given by an internationally recognized overnight air courier, then such notice shall be deemed given one Business Day after delivery to such carrier. All notices shall be addressed to the party to be notified at the address as follows, or at such other address as such party may designate by ten days’ advance written notice to the other party:</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OptimzeRx Corporation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Rochester, Michigan 48307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(248) 453-5529</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0" w:name="page41"/>
    <w:bookmarkEnd w:id="40"/>
    <w:p>
      <w:pPr>
        <w:ind w:left="15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Morgan, Lewis &amp; Bockius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One Federal Street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Mark B. Stein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(617) 341-7701</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the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addresses set forth on the signature pages hereto.</w:t>
      </w:r>
    </w:p>
    <w:p>
      <w:pPr>
        <w:spacing w:after="0" w:line="225" w:lineRule="exact"/>
        <w:rPr>
          <w:sz w:val="20"/>
          <w:szCs w:val="20"/>
          <w:color w:val="auto"/>
        </w:rPr>
      </w:pPr>
    </w:p>
    <w:p>
      <w:pPr>
        <w:ind w:firstLine="1102"/>
        <w:spacing w:after="0" w:line="286"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Expenses</w:t>
      </w:r>
      <w:r>
        <w:rPr>
          <w:rFonts w:ascii="Arial" w:cs="Arial" w:eastAsia="Arial" w:hAnsi="Arial"/>
          <w:sz w:val="16"/>
          <w:szCs w:val="16"/>
          <w:color w:val="auto"/>
        </w:rPr>
        <w:t>. The parties hereto shall pay their own costs and expenses in connection herewith, except that the Company shall reimburse the Special Situations Funds for their reasonable out-of-pocket expenses incurred in connection with the transactions contemplated by the Transaction Documents (including, but not limited to, the reasonable fees and disbursements of Lowenstein Sandler LLP, counsel to the Funds), in an amount not to exceed $40,000 regardless of whether the transactions contemplated hereby are consummated; it being understood that Lowenstein Sandler LLP has only rendered legal advice to the Special Situations Funds participating in this transaction and not to the Company or any other Investor in connection with the transactions contemplated hereby, and that each of the Company and each Investor has relied for such matters on the advice of its own respective counsel. Such fee shall be paid at the Closing or, if the Closing does not occur, within five (5) Business Days of the termination of this Agreement. The Company shall reimburse the Investors upon demand for all reasonable out-of-pocket expenses incurred by the Investors, including without limitation reimbursement of fees and disbursements for one counsel (which shall be Lowenstein Sandler LLP unless the Special Situations Funds no longer hold any Shares), in connection with any amendment, modification or waiver of this Agreement or the other Transaction Documents requested by the Company. In the event that legal proceedings are commenced by any party to this Agreement against another party to this Agreement in connection with this Agreement or the other Transaction Documents, the party or parties which do not prevail in such proceedings shall severally, but not jointly, pay their pro rata share of the reasonable attorneys’ fees and other reasonable out-of-pocket costs and expenses incurred by the prevailing party in such proceedings.</w:t>
      </w:r>
    </w:p>
    <w:p>
      <w:pPr>
        <w:spacing w:after="0" w:line="175" w:lineRule="exact"/>
        <w:rPr>
          <w:sz w:val="20"/>
          <w:szCs w:val="20"/>
          <w:color w:val="auto"/>
        </w:rPr>
      </w:pPr>
    </w:p>
    <w:p>
      <w:pPr>
        <w:ind w:right="40" w:firstLine="1102"/>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Any term of this Agreement may be amended and the observance of any term of this Agreement may be waived (either generally or in a particular instance and either retroactively or prospectively), only with the written consent of the Company and the Investors. Any amendment or waiver effected in accordance with this paragraph shall be binding upon each holder of any Shares purchased under this Agreement at the time outstanding, each future holder of all such Shares, and the Company.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1" w:name="page42"/>
    <w:bookmarkEnd w:id="41"/>
    <w:p>
      <w:pPr>
        <w:ind w:firstLine="1102"/>
        <w:spacing w:after="0" w:line="287"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Publicity</w:t>
      </w:r>
      <w:r>
        <w:rPr>
          <w:rFonts w:ascii="Arial" w:cs="Arial" w:eastAsia="Arial" w:hAnsi="Arial"/>
          <w:sz w:val="16"/>
          <w:szCs w:val="16"/>
          <w:color w:val="auto"/>
        </w:rPr>
        <w:t>. Except as set forth below, no public release or announcement concerning the transactions contemplated hereby shall be issued by the Company or the Investors without the prior consent of the Company (in the case of a release or announcement by the Investors) or the Required Investors (in the case of a release or announcement by the Company) (which consents shall not be unreasonably withheld), except as such release or announcement may be required by law or the applicable rules or regulations of any securities exchange or securities market, in which case the Company or the Investors, as the case may be, shall allow the Investors or the Company, as applicable, to the extent reasonably practicable in the circumstances, reasonable time to comment on such release or announcement in advance of such issuance. By 8:30 a.m. (New York City time) on the trading day immediately following the execution and delivery of this Agreement, the Company shall (i) issue a press release (the “Press Release”) disclosing the execution of this Agreement, describing the transactions contemplated hereby and by the other Transaction Documents and disclosing the Disclosure, and (ii) file a Current Report on Form 8-K attaching the press release described in the foregoing sentence as well as copies of the Transaction Documents. In addition, the Company will make such other filings and notices in the manner and time required by the SEC or the OTCQB. From and after the issuance of the Press Release, no Investor will be deemed to be in possession of any material nonpublic information regarding the Company. The Company acknowledges that the Investors are relying on the prior sentence in effecting transactions in the Company’s securities and that such reliance is reasonable.</w:t>
      </w:r>
    </w:p>
    <w:p>
      <w:pPr>
        <w:spacing w:after="0" w:line="169" w:lineRule="exact"/>
        <w:rPr>
          <w:sz w:val="20"/>
          <w:szCs w:val="20"/>
          <w:color w:val="auto"/>
        </w:rPr>
      </w:pPr>
    </w:p>
    <w:p>
      <w:pPr>
        <w:ind w:right="120" w:firstLine="1102"/>
        <w:spacing w:after="0" w:line="276"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spacing w:after="0" w:line="173" w:lineRule="exact"/>
        <w:rPr>
          <w:sz w:val="20"/>
          <w:szCs w:val="20"/>
          <w:color w:val="auto"/>
        </w:rPr>
      </w:pPr>
    </w:p>
    <w:p>
      <w:pPr>
        <w:ind w:right="140" w:firstLine="1102"/>
        <w:spacing w:after="0" w:line="264"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Exhibits and the Disclosure Schedules, and the other Transaction Documents constitute the entire agreement among the parties hereof with respect to the subject matter hereof and thereof and supersede all prior agreements and understandings, both oral and written, between the parties with respect to the subject matter hereof and thereof.</w:t>
      </w:r>
    </w:p>
    <w:p>
      <w:pPr>
        <w:spacing w:after="0" w:line="181" w:lineRule="exact"/>
        <w:rPr>
          <w:sz w:val="20"/>
          <w:szCs w:val="20"/>
          <w:color w:val="auto"/>
        </w:rPr>
      </w:pPr>
    </w:p>
    <w:p>
      <w:pPr>
        <w:ind w:right="280" w:firstLine="1102"/>
        <w:spacing w:after="0" w:line="342"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24" w:lineRule="exact"/>
        <w:rPr>
          <w:sz w:val="20"/>
          <w:szCs w:val="20"/>
          <w:color w:val="auto"/>
        </w:rPr>
      </w:pPr>
    </w:p>
    <w:p>
      <w:pPr>
        <w:ind w:right="20" w:firstLine="1102"/>
        <w:spacing w:after="0" w:line="264"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agree that they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right="40" w:firstLine="1102"/>
        <w:spacing w:after="0" w:line="283" w:lineRule="auto"/>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Governing Law; Consent to Jurisdiction; Waiver of Jury Trial</w:t>
      </w:r>
      <w:r>
        <w:rPr>
          <w:rFonts w:ascii="Arial" w:cs="Arial" w:eastAsia="Arial" w:hAnsi="Arial"/>
          <w:sz w:val="16"/>
          <w:szCs w:val="16"/>
          <w:color w:val="auto"/>
        </w:rPr>
        <w:t xml:space="preserve">. This Agreement shall be governed by, and construed in accordance with, the internal laws of the State of New York without regard to the choice of law principles thereof.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w:t>
      </w:r>
      <w:r>
        <w:rPr>
          <w:rFonts w:ascii="Arial" w:cs="Arial" w:eastAsia="Arial" w:hAnsi="Arial"/>
          <w:sz w:val="16"/>
          <w:szCs w:val="16"/>
          <w:b w:val="1"/>
          <w:bCs w:val="1"/>
          <w:color w:val="auto"/>
        </w:rPr>
        <w:t>EACH OF THE PARTIES HERETO WAIVES ANY RIGHT TO REQUEST A TRIAL BY JURY IN ANY</w:t>
      </w:r>
    </w:p>
    <w:p>
      <w:pPr>
        <w:spacing w:after="0" w:line="7"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b w:val="1"/>
          <w:bCs w:val="1"/>
          <w:color w:val="auto"/>
        </w:rPr>
        <w:t>LITIGATION WITH RESPECT TO THIS AGREEMENT AND THE OTHER TRANSACTION DOCUMENTS OR ARISING OUT OF THE TRANSACTIONS CONTEMPLATED HEREBY AND THEREBY AND REPRESENTS THAT COUNSEL HAS BEEN CONSULTED SPECIFICALLY AS TO THIS WAIVER.</w:t>
      </w:r>
    </w:p>
    <w:p>
      <w:pPr>
        <w:spacing w:after="0" w:line="190" w:lineRule="exact"/>
        <w:rPr>
          <w:sz w:val="20"/>
          <w:szCs w:val="20"/>
          <w:color w:val="auto"/>
        </w:rPr>
      </w:pPr>
    </w:p>
    <w:p>
      <w:pPr>
        <w:ind w:firstLine="1102"/>
        <w:spacing w:after="0" w:line="287"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Independent Nature of Investors' Obligations and Rights</w:t>
      </w:r>
      <w:r>
        <w:rPr>
          <w:rFonts w:ascii="Arial" w:cs="Arial" w:eastAsia="Arial" w:hAnsi="Arial"/>
          <w:sz w:val="16"/>
          <w:szCs w:val="16"/>
          <w:color w:val="auto"/>
        </w:rPr>
        <w:t>. The obligations of each Investor under any Transaction Document are several and not joint with the obligations of any other Investor, and no Investor shall be responsible in any way for the performance of the obligations of any other Investor under any Transaction Document. The decision of each Investor to purchase Shares pursuant to the Transaction Documents has been made by such Investor independently of any other Investor. Nothing contained herein or in any Transaction Document, and no action taken by any Investor pursuant thereto,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by the Transaction Documents. Each Investor acknowledges that no other Investor has acted as agent for such Investor in connection with making its investment hereunder and that no Investor will be acting as agent of such Investor in connection with monitoring its investment in the Shares or enforcing its rights under the Transaction Documents. Each Investor shall be entitled to independently protect and enforce its rights, including, without limitation, the rights arising out of this Agreement or out of the other Transaction Documents, and it shall not be necessary for any other Investor to be joined as an additional party in any proceeding for such purpose. The Company acknowledges that each of the Investors has been provided with the same Transaction Documents for the purpose of closing a transaction with multiple Investors and not because it was required or requested to do so by any Investor.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3" w:name="page44"/>
    <w:bookmarkEnd w:id="43"/>
    <w:p>
      <w:pPr>
        <w:ind w:firstLine="1102"/>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The Company:</w:t>
      </w:r>
      <w:r>
        <w:rPr>
          <w:sz w:val="20"/>
          <w:szCs w:val="20"/>
          <w:color w:val="auto"/>
        </w:rPr>
        <w:tab/>
      </w:r>
      <w:r>
        <w:rPr>
          <w:rFonts w:ascii="Arial" w:cs="Arial" w:eastAsia="Arial" w:hAnsi="Arial"/>
          <w:sz w:val="17"/>
          <w:szCs w:val="17"/>
          <w:color w:val="auto"/>
        </w:rPr>
        <w:t>OPTIMIZERX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909" w:right="399" w:bottom="1440" w:gutter="0" w:footer="0" w:header="0"/>
        </w:sectPr>
      </w:pPr>
    </w:p>
    <w:bookmarkStart w:id="44" w:name="page45"/>
    <w:bookmarkEnd w:id="44"/>
    <w:p>
      <w:pPr>
        <w:spacing w:after="0"/>
        <w:tabs>
          <w:tab w:leader="none" w:pos="6840" w:val="left"/>
        </w:tabs>
        <w:rPr>
          <w:sz w:val="20"/>
          <w:szCs w:val="20"/>
          <w:color w:val="auto"/>
        </w:rPr>
      </w:pPr>
      <w:r>
        <w:rPr>
          <w:rFonts w:ascii="Arial" w:cs="Arial" w:eastAsia="Arial" w:hAnsi="Arial"/>
          <w:sz w:val="18"/>
          <w:szCs w:val="18"/>
          <w:color w:val="auto"/>
        </w:rPr>
        <w:t>The Investors:</w:t>
      </w:r>
      <w:r>
        <w:rPr>
          <w:sz w:val="20"/>
          <w:szCs w:val="20"/>
          <w:color w:val="auto"/>
        </w:rPr>
        <w:tab/>
      </w:r>
      <w:r>
        <w:rPr>
          <w:rFonts w:ascii="Arial" w:cs="Arial" w:eastAsia="Arial" w:hAnsi="Arial"/>
          <w:sz w:val="17"/>
          <w:szCs w:val="17"/>
          <w:color w:val="auto"/>
        </w:rPr>
        <w:t>SPECIAL SITUATIONS FUND III QP,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 $2,984,000.40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1,657,778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527 Madison Avenue</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Suite 2600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Lowenstein Sandler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One Lowenstein Drive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Roseland, NJ 07068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John D. Hogoboom,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973.597.2500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973.597.2400</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45" w:name="page46"/>
    <w:bookmarkEnd w:id="45"/>
    <w:p>
      <w:pPr>
        <w:ind w:left="6860"/>
        <w:spacing w:after="0"/>
        <w:rPr>
          <w:sz w:val="20"/>
          <w:szCs w:val="20"/>
          <w:color w:val="auto"/>
        </w:rPr>
      </w:pPr>
      <w:r>
        <w:rPr>
          <w:rFonts w:ascii="Arial" w:cs="Arial" w:eastAsia="Arial" w:hAnsi="Arial"/>
          <w:sz w:val="17"/>
          <w:szCs w:val="17"/>
          <w:color w:val="auto"/>
        </w:rPr>
        <w:t>SPECIAL SITUATIONS CAYMAN FUND, L.P.</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 $1,116,000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620,000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527 Madison Avenue</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Suite 2600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Lowenstein Sandler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One Lowenstein Drive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Roseland, NJ 07068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John D. Hogoboom,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973.597.2500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973.597.2400</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20"/>
          </w:cols>
          <w:pgMar w:left="240" w:top="908" w:right="1239" w:bottom="1440" w:gutter="0" w:footer="0" w:header="0"/>
        </w:sectPr>
      </w:pPr>
    </w:p>
    <w:bookmarkStart w:id="46" w:name="page47"/>
    <w:bookmarkEnd w:id="46"/>
    <w:p>
      <w:pPr>
        <w:ind w:left="6860"/>
        <w:spacing w:after="0"/>
        <w:rPr>
          <w:sz w:val="20"/>
          <w:szCs w:val="20"/>
          <w:color w:val="auto"/>
        </w:rPr>
      </w:pPr>
      <w:r>
        <w:rPr>
          <w:rFonts w:ascii="Arial" w:cs="Arial" w:eastAsia="Arial" w:hAnsi="Arial"/>
          <w:sz w:val="17"/>
          <w:szCs w:val="17"/>
          <w:color w:val="auto"/>
        </w:rPr>
        <w:t>SPECIAL SITUATIONS PRIVATE EQUITY FUND, L.P.</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 $900,000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500,000</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527 Madison Avenue</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Suite 2600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Lowenstein Sandler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One Lowenstein Drive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Roseland, NJ 07068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John D. Hogoboom,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973.597.2500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973.597.2400</w:t>
      </w:r>
    </w:p>
    <w:p>
      <w:pPr>
        <w:spacing w:after="0" w:line="200" w:lineRule="exact"/>
        <w:rPr>
          <w:sz w:val="20"/>
          <w:szCs w:val="20"/>
          <w:color w:val="auto"/>
        </w:rPr>
      </w:pPr>
    </w:p>
    <w:p>
      <w:pPr>
        <w:spacing w:after="0" w:line="2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909" w:right="599" w:bottom="1440" w:gutter="0" w:footer="0" w:header="0"/>
        </w:sectPr>
      </w:pPr>
    </w:p>
    <w:bookmarkStart w:id="47" w:name="page48"/>
    <w:bookmarkEnd w:id="47"/>
    <w:p>
      <w:pPr>
        <w:ind w:left="6860"/>
        <w:spacing w:after="0"/>
        <w:rPr>
          <w:sz w:val="20"/>
          <w:szCs w:val="20"/>
          <w:color w:val="auto"/>
        </w:rPr>
      </w:pPr>
      <w:r>
        <w:rPr>
          <w:rFonts w:ascii="Arial" w:cs="Arial" w:eastAsia="Arial" w:hAnsi="Arial"/>
          <w:sz w:val="17"/>
          <w:szCs w:val="17"/>
          <w:color w:val="auto"/>
        </w:rPr>
        <w:t>PARK WEST PARTNERS INTERNATIONAL, LIMITED</w:t>
      </w:r>
    </w:p>
    <w:p>
      <w:pPr>
        <w:spacing w:after="0" w:line="237"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Park West Asset Management LLC</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Investment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Grace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 $320,041.80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177,801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Park West Asset Management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900 Larkspur Landing Circle, Suite 165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Larkspur, CA 94939</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909" w:right="539" w:bottom="1440" w:gutter="0" w:footer="0" w:header="0"/>
        </w:sectPr>
      </w:pPr>
    </w:p>
    <w:bookmarkStart w:id="48" w:name="page49"/>
    <w:bookmarkEnd w:id="48"/>
    <w:p>
      <w:pPr>
        <w:ind w:left="6860"/>
        <w:spacing w:after="0"/>
        <w:rPr>
          <w:sz w:val="20"/>
          <w:szCs w:val="20"/>
          <w:color w:val="auto"/>
        </w:rPr>
      </w:pPr>
      <w:r>
        <w:rPr>
          <w:rFonts w:ascii="Arial" w:cs="Arial" w:eastAsia="Arial" w:hAnsi="Arial"/>
          <w:sz w:val="17"/>
          <w:szCs w:val="17"/>
          <w:color w:val="auto"/>
        </w:rPr>
        <w:t>PARK WEST INVESTORS MASTER FUND, LIMITED</w:t>
      </w:r>
    </w:p>
    <w:p>
      <w:pPr>
        <w:spacing w:after="0" w:line="237"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Park West Asset Management LLC</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Investment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Grace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 $2,829,958.20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1,572,199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Park West Asset Management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900 Larkspur Landing Circle, Suite 165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Larkspur, CA 94939</w:t>
      </w:r>
    </w:p>
    <w:p>
      <w:pPr>
        <w:spacing w:after="0" w:line="200" w:lineRule="exact"/>
        <w:rPr>
          <w:sz w:val="20"/>
          <w:szCs w:val="20"/>
          <w:color w:val="auto"/>
        </w:rPr>
      </w:pPr>
    </w:p>
    <w:p>
      <w:pPr>
        <w:spacing w:after="0" w:line="2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909" w:right="619" w:bottom="1440" w:gutter="0" w:footer="0" w:header="0"/>
        </w:sectPr>
      </w:pPr>
    </w:p>
    <w:bookmarkStart w:id="49" w:name="page50"/>
    <w:bookmarkEnd w:id="49"/>
    <w:p>
      <w:pPr>
        <w:ind w:left="6860"/>
        <w:spacing w:after="0"/>
        <w:rPr>
          <w:sz w:val="20"/>
          <w:szCs w:val="20"/>
          <w:color w:val="auto"/>
        </w:rPr>
      </w:pPr>
      <w:r>
        <w:rPr>
          <w:rFonts w:ascii="Arial" w:cs="Arial" w:eastAsia="Arial" w:hAnsi="Arial"/>
          <w:sz w:val="18"/>
          <w:szCs w:val="18"/>
          <w:color w:val="auto"/>
        </w:rPr>
        <w:t>FIRST BANK &amp; TRUST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CUSTODIAN FOR RONALD L. CHEZ IRA</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Karen Rose, as custodian for Ronald L. Chez 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 $849,999.60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472,222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555 W. Madison Street</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Chicago, IL 60601</w:t>
      </w:r>
    </w:p>
    <w:p>
      <w:pPr>
        <w:spacing w:after="0" w:line="200" w:lineRule="exact"/>
        <w:rPr>
          <w:sz w:val="20"/>
          <w:szCs w:val="20"/>
          <w:color w:val="auto"/>
        </w:rPr>
      </w:pPr>
    </w:p>
    <w:p>
      <w:pPr>
        <w:spacing w:after="0" w:line="2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908" w:right="6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33" w:lineRule="exact"/>
        <w:rPr>
          <w:sz w:val="20"/>
          <w:szCs w:val="20"/>
          <w:color w:val="auto"/>
        </w:rPr>
      </w:pPr>
    </w:p>
    <w:p>
      <w:pPr>
        <w:ind w:right="20" w:firstLine="648"/>
        <w:spacing w:after="0" w:line="227" w:lineRule="auto"/>
        <w:rPr>
          <w:sz w:val="20"/>
          <w:szCs w:val="20"/>
          <w:color w:val="auto"/>
        </w:rPr>
      </w:pPr>
      <w:r>
        <w:rPr>
          <w:rFonts w:ascii="Arial" w:cs="Arial" w:eastAsia="Arial" w:hAnsi="Arial"/>
          <w:sz w:val="18"/>
          <w:szCs w:val="18"/>
          <w:color w:val="auto"/>
        </w:rPr>
        <w:t>This Registration Rights Agreement (the “Agreement”) is made and entered into as of this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May, 2018 by and among OptimizeRx Corporation, a Nevada corporation (the “Company”), and the “Investors” named in that certain Purchase Agreement by and among the Company and the Investors dated as of the date hereof (the “Purchase Agreement”). Capitalized terms used herein have the respective meanings ascribed thereto in the Purchase Agreement unless otherwise defined herein.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hereby agree as follows:</w:t>
      </w:r>
    </w:p>
    <w:p>
      <w:pPr>
        <w:spacing w:after="0" w:line="225" w:lineRule="exact"/>
        <w:rPr>
          <w:sz w:val="20"/>
          <w:szCs w:val="20"/>
          <w:color w:val="auto"/>
        </w:rPr>
      </w:pPr>
    </w:p>
    <w:p>
      <w:pPr>
        <w:ind w:left="840" w:hanging="184"/>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means the Investors identified in the Purchase Agreement and any Affiliate or permitted transferee of any Investor who is a subsequent holder of any Shares or Registrable Securities.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(i) any prospectus (preliminary or final)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87"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made by preparing and filing a Registration Statement or similar document in compliance with the 1933 Act (as defined below), and the declaration or ordering of effectiveness of such Registration Statement or document.</w:t>
      </w:r>
    </w:p>
    <w:p>
      <w:pPr>
        <w:spacing w:after="0" w:line="12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means (i) the Shares and (ii) any other securities issued or issuable with respect to or in exchange for the Shares, whether by merger, charter amendment, or otherwise; provided, that, a security shall cease to be a Registrable Security (and the Company shall not be required to maintain the effectiveness of any, or file another, Registration Statement hereunder with respect thereto) for so long as (a) a Registration Statement with respect to the sale of such Registrable Securities is declared effective by the SEC under the 1933 Act and such Registrable Securities have been disposed of by the holder thereof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 and the Transfer Agent has issued certificates for such Registrable Securities to the holder thereof, or as such holder may direct, without any restrictive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Company filed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Investors</w:t>
      </w:r>
      <w:r>
        <w:rPr>
          <w:rFonts w:ascii="Arial" w:cs="Arial" w:eastAsia="Arial" w:hAnsi="Arial"/>
          <w:sz w:val="18"/>
          <w:szCs w:val="18"/>
          <w:color w:val="auto"/>
        </w:rPr>
        <w:t>” means, as of any time, the Investors beneficially owning a majority of the Registrable Securities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840" w:hanging="18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Registration Statements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86" w:lineRule="auto"/>
        <w:tabs>
          <w:tab w:leader="none" w:pos="1511" w:val="left"/>
        </w:tabs>
        <w:numPr>
          <w:ilvl w:val="2"/>
          <w:numId w:val="26"/>
        </w:numPr>
        <w:rPr>
          <w:rFonts w:ascii="Arial" w:cs="Arial" w:eastAsia="Arial" w:hAnsi="Arial"/>
          <w:sz w:val="16"/>
          <w:szCs w:val="16"/>
          <w:color w:val="auto"/>
        </w:rPr>
      </w:pPr>
      <w:r>
        <w:rPr>
          <w:rFonts w:ascii="Arial" w:cs="Arial" w:eastAsia="Arial" w:hAnsi="Arial"/>
          <w:sz w:val="16"/>
          <w:szCs w:val="16"/>
          <w:u w:val="single" w:color="auto"/>
          <w:color w:val="auto"/>
        </w:rPr>
        <w:t>Initial Registration Statement</w:t>
      </w:r>
      <w:r>
        <w:rPr>
          <w:rFonts w:ascii="Arial" w:cs="Arial" w:eastAsia="Arial" w:hAnsi="Arial"/>
          <w:sz w:val="16"/>
          <w:szCs w:val="16"/>
          <w:color w:val="auto"/>
        </w:rPr>
        <w:t xml:space="preserve">. Promptly following the closing of the purchase and sale of the securities contemplated by the Purchase Agreement (the “Closing Date”) but no later than thirty (30) days after the Closing Date (the “Filing Deadline”), the Company shall prepare and file with the SEC one Registration Statement on Form S-1 covering the resale of the Registrable Securities. Subject to any SEC comments, such Registration Statement shall include the plan of distribution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provided, however, that no Investor shall be named as an “underwriter” in the Registration Statement without the Investor’s prior written consent.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without the prior written consent of the Required Investors. The Registration Statement (and each amendment or supplement thereto, and each request for acceleration of effectiveness thereof) shall be provided in accordance with Section 3(c) to the Investors and their counsel prior to its filing or other submission. If a Registration Statement covering the Registrable Securities is not filed with the SEC on or prior to the Filing Deadline, the Company will make pro rata payments to each Investor, as liquidated damages and not as a penalty, in an amount equal to 1.5% of the aggregate amount invested by such Investor pursuant to the Purchase Agreement for each 30-day period or pro rata for any portion thereof following the Filing Deadline for which no Registration Statement is filed with respect to the Registrable Securities. Such payments shall constitute the Investors’ exclusive monetary remedy for such events, but shall not affect the right of the Investors to seek injunctive relief. Such payments shall be made to each Investor in cash no later than three (3) Business Days after the end of each 30-day period.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right="40" w:firstLine="1305"/>
        <w:spacing w:after="0" w:line="287" w:lineRule="auto"/>
        <w:tabs>
          <w:tab w:leader="none" w:pos="1561"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S-3 Registration Statement</w:t>
      </w:r>
      <w:r>
        <w:rPr>
          <w:rFonts w:ascii="Arial" w:cs="Arial" w:eastAsia="Arial" w:hAnsi="Arial"/>
          <w:sz w:val="16"/>
          <w:szCs w:val="16"/>
          <w:color w:val="auto"/>
        </w:rPr>
        <w:t>. Promptly following the date (the “Qualification Date”) upon which the Company becomes eligible to use a registration statement on Form S-3 to register the Registrable Securities for resale, but in no event more than sixty (60) days after the Qualification Date (the “Qualification Deadline”), the Company shall file a registration statement on Form S-3 covering the Registrable Securities (or a post-effective amendment on Form S-3 to the registration statement on Form S-1) (a “Shelf Registration Statement”) and shall use commercially reasonable efforts to cause such Shelf Registration Statement to be declared effective as promptly as practicable thereafter. If a Shelf Registration Statement covering the Registrable Securities is not filed with the SEC on or prior to the Qualification Deadline, the Company will make pro rata payments to each Investor, as liquidated damages and not as a penalty, in an amount equal to 1.5% of the aggregate invested by such Investor pursuant to the Purchase Agreement attributable to those Registrable Securities that remain unsold at that time for each 30-day period or pro rata for any portion thereof following the date by which such Shelf Registration Statement should have been filed for which no such Shelf Registration Statement is filed. Such payments shall constitute the Investors’ exclusive monetary remedy for such events, but shall not affect the right of the Investors to seek injunctive relief. Such payments shall be made to each Investor in cash no later than three (3) Business Days after the end of each 30-day period.</w:t>
      </w:r>
    </w:p>
    <w:p>
      <w:pPr>
        <w:spacing w:after="0" w:line="172" w:lineRule="exact"/>
        <w:rPr>
          <w:rFonts w:ascii="Arial" w:cs="Arial" w:eastAsia="Arial" w:hAnsi="Arial"/>
          <w:sz w:val="16"/>
          <w:szCs w:val="16"/>
          <w:color w:val="auto"/>
        </w:rPr>
      </w:pPr>
    </w:p>
    <w:p>
      <w:pPr>
        <w:jc w:val="both"/>
        <w:ind w:right="160" w:firstLine="980"/>
        <w:spacing w:after="0" w:line="276" w:lineRule="auto"/>
        <w:tabs>
          <w:tab w:leader="none" w:pos="1227"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will pay all expenses associated with effecting the registration of the Registrable Securities, including filing and printing fees, the Company’s counsel and accounting fees and expenses, costs associated with clearing the Registrable Securities for sale under applicable state securities laws, listing fees, fees and expenses of one counsel to the Investors up to an aggregate of $10,000 and the Investors’ other reasonable out-of-pocket expenses in connection with the registration, but excluding discounts, commissions, fees of underwriters, selling brokers, dealer managers or similar securities industry professionals with respect to the Registrable Securities being sold.</w:t>
      </w:r>
    </w:p>
    <w:p>
      <w:pPr>
        <w:spacing w:after="0" w:line="172" w:lineRule="exact"/>
        <w:rPr>
          <w:rFonts w:ascii="Arial" w:cs="Arial" w:eastAsia="Arial" w:hAnsi="Arial"/>
          <w:sz w:val="17"/>
          <w:szCs w:val="17"/>
          <w:color w:val="auto"/>
        </w:rPr>
      </w:pPr>
    </w:p>
    <w:p>
      <w:pPr>
        <w:ind w:left="1220" w:hanging="240"/>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305"/>
        <w:spacing w:after="0" w:line="285" w:lineRule="auto"/>
        <w:tabs>
          <w:tab w:leader="none" w:pos="1511"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Company shall use commercially reasonable efforts to have any Registration Statement declared effective as soon as practicable. The Company shall notify the Investors by facsimile or e-mail as promptly as practicable, and in any event, within twenty-four (24) hours, after any Registration Statement is declared effective and shall simultaneously provide the Investors with copies of any related Prospectus to be used in connection with the sale or other disposition of the securities covered thereby. If (A)(x) a Registration Statement covering the Registrable Securities is not declared effective by the SEC prior to the earlier of (i) five (5) Business Days after the SEC shall have informed the Company that no review of the Registration</w:t>
      </w:r>
    </w:p>
    <w:p>
      <w:pPr>
        <w:spacing w:after="0" w:line="2"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Statement will be made or that the SEC has no further comments on the Registration Statement or (ii)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Closing Date or (y) a Shelf Registration Statement is not declared effective by the SEC prior to the earlier of (i) five (5) Business Days after the SEC shall have informed the Company</w:t>
      </w:r>
    </w:p>
    <w:p>
      <w:pPr>
        <w:spacing w:after="0" w:line="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that no review of the Registration Statement will be made or that the SEC has no further comments on the Registration Statement or (ii)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Qualification Deadline, or (B) after a Registration Statement has been declared effective by the SEC, sales cannot be made pursuant to such Registration Statement for any reason (including without limitation by reason of a stop order, or the Company’s failure to update the Registration Statement), but excluding any Allowed Delay (as defined below), then the Company will make pro rata payments to each Investor, as liquidated damages and not as a penalty, in an amount equal to 1.5% of the aggregate amount invested by such Investor pursuant to the Purchase Agreement for each 30-day period or pro rata for any portion thereof until the applicable circumstance described above has been cured (the “Blackout Period”). Such payments shall constitute the Investors’ exclusive monetary remedy for such events, but shall not affect the right of the Investors to seek injunctive relief. The amounts payable as liquidated damages pursuant to this paragraph shall be paid monthly within three (3) Business Days of the last day of each month following the commencement of the Blackout Period until the termination of the Blackout Period. Such payments shall be made to each Investor in cash.</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3" w:name="page54"/>
    <w:bookmarkEnd w:id="53"/>
    <w:p>
      <w:pPr>
        <w:ind w:firstLine="1305"/>
        <w:spacing w:after="0" w:line="288" w:lineRule="auto"/>
        <w:tabs>
          <w:tab w:leader="none" w:pos="1561" w:val="left"/>
        </w:tabs>
        <w:numPr>
          <w:ilvl w:val="1"/>
          <w:numId w:val="29"/>
        </w:numPr>
        <w:rPr>
          <w:rFonts w:ascii="Arial" w:cs="Arial" w:eastAsia="Arial" w:hAnsi="Arial"/>
          <w:sz w:val="16"/>
          <w:szCs w:val="16"/>
          <w:color w:val="auto"/>
        </w:rPr>
      </w:pPr>
      <w:r>
        <w:rPr>
          <w:rFonts w:ascii="Arial" w:cs="Arial" w:eastAsia="Arial" w:hAnsi="Arial"/>
          <w:sz w:val="16"/>
          <w:szCs w:val="16"/>
          <w:color w:val="auto"/>
        </w:rPr>
        <w:t>For not more than twenty (20) consecutive days or for a total of not more than forty-five (45) days in any twelve (12) month period, the Company may suspend the use of any Prospectus included in any Registration Statement contemplated by this Section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“Allowed Delay”);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Registration Statement until the end of the Allowed Delay and (c) use commercially reasonable efforts to terminate an Allowed Delay as promptly as practicable.</w:t>
      </w:r>
    </w:p>
    <w:p>
      <w:pPr>
        <w:spacing w:after="0" w:line="169" w:lineRule="exact"/>
        <w:rPr>
          <w:rFonts w:ascii="Arial" w:cs="Arial" w:eastAsia="Arial" w:hAnsi="Arial"/>
          <w:sz w:val="16"/>
          <w:szCs w:val="16"/>
          <w:color w:val="auto"/>
        </w:rPr>
      </w:pPr>
    </w:p>
    <w:p>
      <w:pPr>
        <w:ind w:firstLine="980"/>
        <w:spacing w:after="0" w:line="282" w:lineRule="auto"/>
        <w:tabs>
          <w:tab w:leader="none" w:pos="122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Rule 415; Cutback</w:t>
      </w:r>
      <w:r>
        <w:rPr>
          <w:rFonts w:ascii="Arial" w:cs="Arial" w:eastAsia="Arial" w:hAnsi="Arial"/>
          <w:sz w:val="16"/>
          <w:szCs w:val="16"/>
          <w:color w:val="auto"/>
        </w:rPr>
        <w:t xml:space="preserve"> If at any time the SEC takes the position that the offering of some or all of the Registrable Securities in a Registration Statement is not eligible to be made on a delayed or continuous basis under the provisions of Rule 415 under the 1933 Act or requires any Investor to be named as an “underwriter”, the Company shall use its reasonable best efforts to persuade the SEC that the offering contemplated by a Registration Statement is a bona fide secondary offering and not an offering “by or on behalf of the issuer” as defined in Rule 415 and that none of the Investors is an “underwriter”. The Investors shall have the right to participate or have their counsel participate in any meetings or discussions with the SEC regarding the SEC’s position and to comment or have their counsel comment on any written submission made to the SEC with respect thereto. No such written submission shall be made to the SEC to which the Investors’ counsel reasonably objects. In the event that, despite the Company’s best efforts and compliance with the terms of this Section 2(d), the SEC refuses to alter its position, the Company shall (i) remove from the Registration Statement such portion of the Registrable Securities (the “Cut Back Shares”) and/or (ii) agree to such restrictions and limitations on the registration and resale of the Registrable Securities as the SEC may require to assure the Company’s compliance with the requirements of Rule 415 (collectively, the “SEC Restrictions”); provided, however, that the Company shall not agree to name any Investor as an “underwriter” in such Registration Statement without the prior written consent of such Investor. Any cut-back imposed on the Investors pursuant to this Section 2(d) shall be allocated among the Investors on a pro rata basis unless the SEC Restrictions otherwise require or provide or the Investors otherwise agree. No damages, including liquidated damages pursuant to this Section 2 shall accrue as to any Cut Back Shares until such date as the Company is able to effect the registration of such Cut Back Shares in accordance with any SEC Restrictions (such date, the “Restriction Termination Date” of such Cut Back Shares). From and after the Restriction Termination Date applicable to any Cut Back Shares, all of the provisions of this Section 2 (including the liquidated damages provisions) shall again be applicable to such Cut Back Shares; provided, however, that (i) the Filing Deadline and the Qualification Deadline for the Registration Statement including such Cut Back Shares shall be ten (10) Business Days after such Restriction Termination</w:t>
      </w:r>
    </w:p>
    <w:p>
      <w:pPr>
        <w:spacing w:after="0" w:line="13" w:lineRule="exact"/>
        <w:rPr>
          <w:sz w:val="20"/>
          <w:szCs w:val="20"/>
          <w:color w:val="auto"/>
        </w:rPr>
      </w:pPr>
    </w:p>
    <w:p>
      <w:pPr>
        <w:ind w:right="40"/>
        <w:spacing w:after="0" w:line="205" w:lineRule="auto"/>
        <w:rPr>
          <w:sz w:val="20"/>
          <w:szCs w:val="20"/>
          <w:color w:val="auto"/>
        </w:rPr>
      </w:pPr>
      <w:r>
        <w:rPr>
          <w:rFonts w:ascii="Arial" w:cs="Arial" w:eastAsia="Arial" w:hAnsi="Arial"/>
          <w:sz w:val="18"/>
          <w:szCs w:val="18"/>
          <w:color w:val="auto"/>
        </w:rPr>
        <w:t>Date, and (ii) the date by which the Company is required to obtain effectiveness with respect to such Cut Back Shares under Section 2(c) shall be the 60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immediately after the Restriction Termination Date.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left="1180" w:hanging="240"/>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Right to Piggyback 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1305"/>
        <w:spacing w:after="0" w:line="289" w:lineRule="auto"/>
        <w:tabs>
          <w:tab w:leader="none" w:pos="1471"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at any time following the date of this Agreement that any Registrable Securities remain outstanding and are not freely tradable under Rule 144 (A) there is not one or more effective Registration Statements covering all of the Registrable Securities and (B) the Company proposes for any reason to register any shares of Common Stock under the 1933 Act (other than pursuant to a registration statement on Form S-4 or Form S-8 (or a similar or successor form)) with respect to an offering of Common Stock by the Company for its own account or for the account of any of its stockholders, it shall at each such time promptly give written notice to the holders of the Registrable Securities of its intention to do so (but in no event less than thirty (30) days before the anticipated filing date) and, to the extent permitted under the provisions of Rule 415 under the 1933 Act, include in such registration all Registrable Securities with respect to which the Company has received written requests for inclusion therein within fifteen (15) days after receipt of the Company’s notice (a “Piggyback Registration”). Such notice shall offer the holders of the Registrable Securities the opportunity to register such number of shares of Registrable Securities as each such holder may request and shall indicate the intended method of distribution of such Registrable Securities.</w:t>
      </w:r>
    </w:p>
    <w:p>
      <w:pPr>
        <w:spacing w:after="0" w:line="166" w:lineRule="exact"/>
        <w:rPr>
          <w:rFonts w:ascii="Arial" w:cs="Arial" w:eastAsia="Arial" w:hAnsi="Arial"/>
          <w:sz w:val="16"/>
          <w:szCs w:val="16"/>
          <w:color w:val="auto"/>
        </w:rPr>
      </w:pPr>
    </w:p>
    <w:p>
      <w:pPr>
        <w:ind w:left="-40" w:firstLine="1305"/>
        <w:spacing w:after="0" w:line="289" w:lineRule="auto"/>
        <w:tabs>
          <w:tab w:leader="none" w:pos="1521" w:val="left"/>
        </w:tabs>
        <w:numPr>
          <w:ilvl w:val="1"/>
          <w:numId w:val="31"/>
        </w:numPr>
        <w:rPr>
          <w:rFonts w:ascii="Arial" w:cs="Arial" w:eastAsia="Arial" w:hAnsi="Arial"/>
          <w:sz w:val="16"/>
          <w:szCs w:val="16"/>
          <w:color w:val="auto"/>
        </w:rPr>
      </w:pPr>
      <w:r>
        <w:rPr>
          <w:rFonts w:ascii="Arial" w:cs="Arial" w:eastAsia="Arial" w:hAnsi="Arial"/>
          <w:sz w:val="16"/>
          <w:szCs w:val="16"/>
          <w:color w:val="auto"/>
        </w:rPr>
        <w:t>Notwithstanding the foregoing, (A) if such registration involves an underwritten public offering, the Investors must sell their Registrable Securities to, if applicable, the underwriter(s) at the same price and subject to the same underwriting discounts and commissions that apply to the other securities sold in such offering (it being acknowledged that the Company shall be responsible for other expenses as set forth in Section 2(b)) and subject to the Investors entering into customary underwriting documentation for selling stockholders in an underwritten public offering, and (B) if, at any time after giving written notice of its intention to register any Registrable Securities pursuant to Section 2(e)(i) and prior to the effective date of the registration statement filed in connection with such registration, the Company shall determine for any reason not to cause such registration statement to become effective under the 1933 Act, the Company shall deliver written notice to the Investors and, thereupon, shall be relieved of its obligation to register any Registrable Securities in connection with such registration; provided, however, that nothing contained in this Section 2(e)(ii) shall limit the Company’s liabilities and/or obligations under this Agreement, including, without limitation, the obligation to pay liquidated damages under this Section 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55" w:name="page56"/>
    <w:bookmarkEnd w:id="55"/>
    <w:p>
      <w:pPr>
        <w:ind w:left="-20" w:firstLine="656"/>
        <w:spacing w:after="0" w:line="277" w:lineRule="auto"/>
        <w:tabs>
          <w:tab w:leader="none" w:pos="80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Company Obligations</w:t>
      </w:r>
      <w:r>
        <w:rPr>
          <w:rFonts w:ascii="Arial" w:cs="Arial" w:eastAsia="Arial" w:hAnsi="Arial"/>
          <w:sz w:val="18"/>
          <w:szCs w:val="18"/>
          <w:color w:val="auto"/>
        </w:rPr>
        <w:t>. The Company will use commercially reasonable efforts to effect the registration of the Registrable Securities in accordance with the terms hereof, and pursuant thereto the Company will, as expeditiously as possible:</w:t>
      </w:r>
    </w:p>
    <w:p>
      <w:pPr>
        <w:spacing w:after="0" w:line="170" w:lineRule="exact"/>
        <w:rPr>
          <w:rFonts w:ascii="Arial" w:cs="Arial" w:eastAsia="Arial" w:hAnsi="Arial"/>
          <w:sz w:val="18"/>
          <w:szCs w:val="18"/>
          <w:color w:val="auto"/>
        </w:rPr>
      </w:pPr>
    </w:p>
    <w:p>
      <w:pPr>
        <w:ind w:left="-20" w:right="20" w:firstLine="980"/>
        <w:spacing w:after="0" w:line="276" w:lineRule="auto"/>
        <w:tabs>
          <w:tab w:leader="none" w:pos="1197" w:val="left"/>
        </w:tabs>
        <w:numPr>
          <w:ilvl w:val="1"/>
          <w:numId w:val="32"/>
        </w:numPr>
        <w:rPr>
          <w:rFonts w:ascii="Arial" w:cs="Arial" w:eastAsia="Arial" w:hAnsi="Arial"/>
          <w:sz w:val="17"/>
          <w:szCs w:val="17"/>
          <w:color w:val="auto"/>
        </w:rPr>
      </w:pPr>
      <w:r>
        <w:rPr>
          <w:rFonts w:ascii="Arial" w:cs="Arial" w:eastAsia="Arial" w:hAnsi="Arial"/>
          <w:sz w:val="17"/>
          <w:szCs w:val="17"/>
          <w:color w:val="auto"/>
        </w:rPr>
        <w:t>use commercially reasonable efforts to cause such Registration Statement to become effective and to remain continuously effective for a period that will terminate upon the earlier of (i) the date on which all Registrable Securities covered by such Registration Statement as amended from time to time, have been sold or otherwise disposed of pursuant to the Registration Statement or in a transaction in which the transferee receives freely tradable shares., and (ii) the date on which the Registrable Securities no longer constitute “Registrable Securities” pursuant to the definition thereof (the “Effectiveness Period”) and advise the Investors in writing when the Effectiveness Period has expired;</w:t>
      </w:r>
    </w:p>
    <w:p>
      <w:pPr>
        <w:spacing w:after="0" w:line="172" w:lineRule="exact"/>
        <w:rPr>
          <w:rFonts w:ascii="Arial" w:cs="Arial" w:eastAsia="Arial" w:hAnsi="Arial"/>
          <w:sz w:val="17"/>
          <w:szCs w:val="17"/>
          <w:color w:val="auto"/>
        </w:rPr>
      </w:pPr>
    </w:p>
    <w:p>
      <w:pPr>
        <w:jc w:val="both"/>
        <w:ind w:left="-20" w:right="140" w:firstLine="980"/>
        <w:spacing w:after="0" w:line="264" w:lineRule="auto"/>
        <w:tabs>
          <w:tab w:leader="none" w:pos="1207"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the Registration Statement and the Prospectus as may be necessary to keep the Registration Statement effective for the Effectiveness Period and to comply with the provisions of the 1933 Act and the 1934 Act with respect to the distribution of all of the Registrable Securities covered thereby;</w:t>
      </w:r>
    </w:p>
    <w:p>
      <w:pPr>
        <w:spacing w:after="0" w:line="181" w:lineRule="exact"/>
        <w:rPr>
          <w:rFonts w:ascii="Arial" w:cs="Arial" w:eastAsia="Arial" w:hAnsi="Arial"/>
          <w:sz w:val="18"/>
          <w:szCs w:val="18"/>
          <w:color w:val="auto"/>
        </w:rPr>
      </w:pPr>
    </w:p>
    <w:p>
      <w:pPr>
        <w:ind w:left="-20" w:right="20" w:firstLine="980"/>
        <w:spacing w:after="0" w:line="342" w:lineRule="auto"/>
        <w:tabs>
          <w:tab w:leader="none" w:pos="11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provide copies to and permit counsel designated by the Investors to review each Registration Statement and all amendments and supplements thereto no fewer than three (3) Business Days prior to their filing with the SEC and not file any document to which such counsel reasonably objects;</w:t>
      </w:r>
    </w:p>
    <w:p>
      <w:pPr>
        <w:spacing w:after="0" w:line="123" w:lineRule="exact"/>
        <w:rPr>
          <w:rFonts w:ascii="Arial" w:cs="Arial" w:eastAsia="Arial" w:hAnsi="Arial"/>
          <w:sz w:val="16"/>
          <w:szCs w:val="16"/>
          <w:color w:val="auto"/>
        </w:rPr>
      </w:pPr>
    </w:p>
    <w:p>
      <w:pPr>
        <w:ind w:left="-20" w:right="80" w:firstLine="980"/>
        <w:spacing w:after="0" w:line="271" w:lineRule="auto"/>
        <w:tabs>
          <w:tab w:leader="none" w:pos="1207" w:val="left"/>
        </w:tabs>
        <w:numPr>
          <w:ilvl w:val="1"/>
          <w:numId w:val="32"/>
        </w:numPr>
        <w:rPr>
          <w:rFonts w:ascii="Arial" w:cs="Arial" w:eastAsia="Arial" w:hAnsi="Arial"/>
          <w:sz w:val="17"/>
          <w:szCs w:val="17"/>
          <w:color w:val="auto"/>
        </w:rPr>
      </w:pPr>
      <w:r>
        <w:rPr>
          <w:rFonts w:ascii="Arial" w:cs="Arial" w:eastAsia="Arial" w:hAnsi="Arial"/>
          <w:sz w:val="17"/>
          <w:szCs w:val="17"/>
          <w:color w:val="auto"/>
        </w:rPr>
        <w:t>furnish to the Investors and their legal counsel (i) promptly after the same is prepared and publicly distributed, filed with the SEC, or received by the Company (but not later than two (2) Business Days after the filing date, receipt date or sending date, as the case may be)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that are covered by the related Registration Statement;</w:t>
      </w:r>
    </w:p>
    <w:p>
      <w:pPr>
        <w:spacing w:after="0" w:line="178" w:lineRule="exact"/>
        <w:rPr>
          <w:rFonts w:ascii="Arial" w:cs="Arial" w:eastAsia="Arial" w:hAnsi="Arial"/>
          <w:sz w:val="17"/>
          <w:szCs w:val="17"/>
          <w:color w:val="auto"/>
        </w:rPr>
      </w:pPr>
    </w:p>
    <w:p>
      <w:pPr>
        <w:ind w:left="-20" w:right="60" w:firstLine="980"/>
        <w:spacing w:after="0" w:line="277" w:lineRule="auto"/>
        <w:tabs>
          <w:tab w:leader="none" w:pos="11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use commercially reasonable efforts to (i) prevent the issuance of any stop order or other suspension of effectiveness and, (ii) if such order is issued, obtain the withdrawal of any such order at the earliest possible moment;</w:t>
      </w:r>
    </w:p>
    <w:p>
      <w:pPr>
        <w:spacing w:after="0" w:line="170" w:lineRule="exact"/>
        <w:rPr>
          <w:rFonts w:ascii="Arial" w:cs="Arial" w:eastAsia="Arial" w:hAnsi="Arial"/>
          <w:sz w:val="18"/>
          <w:szCs w:val="18"/>
          <w:color w:val="auto"/>
        </w:rPr>
      </w:pPr>
    </w:p>
    <w:p>
      <w:pPr>
        <w:ind w:left="-20" w:right="20" w:firstLine="980"/>
        <w:spacing w:after="0" w:line="255" w:lineRule="auto"/>
        <w:tabs>
          <w:tab w:leader="none" w:pos="1177"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prior to any public offering of Registrable Securities, use commercially reasonable efforts to register or qualify or cooperate with the Investors and their counsel in connection with the registration or qualification of such Registrable Securities for offer and sale under the securities or blue sky laws of such jurisdictions requested by the Investors and do any and all other commercially reasonable acts or things necessary or advisable to enable the distribution in such jurisdictions of the Registrable Securities covered by the Registration Statement</w:t>
      </w:r>
      <w:r>
        <w:rPr>
          <w:rFonts w:ascii="Arial" w:cs="Arial" w:eastAsia="Arial" w:hAnsi="Arial"/>
          <w:sz w:val="18"/>
          <w:szCs w:val="18"/>
          <w:b w:val="1"/>
          <w:bCs w:val="1"/>
          <w:color w:val="auto"/>
        </w:rPr>
        <w:t>;</w:t>
      </w:r>
      <w:r>
        <w:rPr>
          <w:rFonts w:ascii="Arial" w:cs="Arial" w:eastAsia="Arial" w:hAnsi="Arial"/>
          <w:sz w:val="18"/>
          <w:szCs w:val="18"/>
          <w:color w:val="auto"/>
        </w:rPr>
        <w:t xml:space="preserve"> provided, however,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56" w:name="page57"/>
    <w:bookmarkEnd w:id="56"/>
    <w:p>
      <w:pPr>
        <w:ind w:left="-20" w:right="300" w:firstLine="980"/>
        <w:spacing w:after="0" w:line="277" w:lineRule="auto"/>
        <w:tabs>
          <w:tab w:leader="none" w:pos="12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use commercially reasonable efforts to cause all Registrable Securities covered by a Registration Statement to be listed on each securities exchange, interdealer quotation system or other market on which similar securities issued by the Company are then listed;</w:t>
      </w:r>
    </w:p>
    <w:p>
      <w:pPr>
        <w:spacing w:after="0" w:line="170" w:lineRule="exact"/>
        <w:rPr>
          <w:rFonts w:ascii="Arial" w:cs="Arial" w:eastAsia="Arial" w:hAnsi="Arial"/>
          <w:sz w:val="18"/>
          <w:szCs w:val="18"/>
          <w:color w:val="auto"/>
        </w:rPr>
      </w:pPr>
    </w:p>
    <w:p>
      <w:pPr>
        <w:ind w:left="-20" w:right="100" w:firstLine="980"/>
        <w:spacing w:after="0" w:line="255" w:lineRule="auto"/>
        <w:tabs>
          <w:tab w:leader="none" w:pos="12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93" w:lineRule="exact"/>
        <w:rPr>
          <w:rFonts w:ascii="Arial" w:cs="Arial" w:eastAsia="Arial" w:hAnsi="Arial"/>
          <w:sz w:val="18"/>
          <w:szCs w:val="18"/>
          <w:color w:val="auto"/>
        </w:rPr>
      </w:pPr>
    </w:p>
    <w:p>
      <w:pPr>
        <w:ind w:left="-20" w:firstLine="980"/>
        <w:spacing w:after="0" w:line="288" w:lineRule="auto"/>
        <w:tabs>
          <w:tab w:leader="none" w:pos="1167"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subsection 3(i), “Availability Date” means the 45th day following the end of the fourth fiscal quarter that includes the effective date of such Registration Statement, except that, if such fourth fiscal quarter is the last quarter of the Company’s fiscal year, “Availability Date” means the 90th day after the end of such fourth fiscal quarter); and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57" w:name="page58"/>
    <w:bookmarkEnd w:id="57"/>
    <w:p>
      <w:pPr>
        <w:ind w:right="20" w:firstLine="980"/>
        <w:spacing w:after="0" w:line="268" w:lineRule="auto"/>
        <w:tabs>
          <w:tab w:leader="none" w:pos="1187"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all of the Registrable Securities shall have been resold pursuant to a Registration Statement, Rule 144 or otherwise in a transaction in which the transferee receives freely tradable shares; (ii) file with the SEC in a timely manner all reports and other documents required of the Company under the 1934 Act; and (iii) furnish to each Investor upon request, as long as such Investor owns any Registrable Securities, (A) a written statement by the Company that it has complied with the reporting requirements of the 1934 Act, (B) a copy of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In the event that the Company fails to comply with the requirements of this Section 3(j) after the 180th day after the Closing Date, the Company will make pro rata payments to each Investor, as liquidated damages and not as a penalty, in an amount equal to 1.5% of the aggregate amount invested by such Investor pursuant to the Purchase Agreement for each 30-day period or pro rata for any portion thereof until such failure is cured; </w:t>
      </w:r>
      <w:r>
        <w:rPr>
          <w:rFonts w:ascii="Arial" w:cs="Arial" w:eastAsia="Arial" w:hAnsi="Arial"/>
          <w:sz w:val="17"/>
          <w:szCs w:val="17"/>
          <w:i w:val="1"/>
          <w:iCs w:val="1"/>
          <w:color w:val="auto"/>
        </w:rPr>
        <w:t>provided, however</w:t>
      </w:r>
      <w:r>
        <w:rPr>
          <w:rFonts w:ascii="Arial" w:cs="Arial" w:eastAsia="Arial" w:hAnsi="Arial"/>
          <w:sz w:val="17"/>
          <w:szCs w:val="17"/>
          <w:color w:val="auto"/>
        </w:rPr>
        <w:t>, that only Investors that have not sold or otherwise disposed of all of their Registrable Securities prior to such failure shall be entitled to receive liquidated damages pursuant to this Section 3. Such payments shall constitute the Investors’ exclusive monetary remedy for such events, but shall not affect the right of the Investors to seek injunctive relief. Such payments shall be made to each Investor in cash no later than three (3) Business Days after the end of each 30-day period.</w:t>
      </w:r>
    </w:p>
    <w:p>
      <w:pPr>
        <w:spacing w:after="0" w:line="180" w:lineRule="exact"/>
        <w:rPr>
          <w:rFonts w:ascii="Arial" w:cs="Arial" w:eastAsia="Arial" w:hAnsi="Arial"/>
          <w:sz w:val="17"/>
          <w:szCs w:val="17"/>
          <w:color w:val="auto"/>
        </w:rPr>
      </w:pPr>
    </w:p>
    <w:p>
      <w:pPr>
        <w:jc w:val="both"/>
        <w:ind w:firstLine="656"/>
        <w:spacing w:after="0" w:line="289" w:lineRule="auto"/>
        <w:tabs>
          <w:tab w:leader="none" w:pos="828"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Due Diligence Review; Information</w:t>
      </w:r>
      <w:r>
        <w:rPr>
          <w:rFonts w:ascii="Arial" w:cs="Arial" w:eastAsia="Arial" w:hAnsi="Arial"/>
          <w:sz w:val="16"/>
          <w:szCs w:val="16"/>
          <w:color w:val="auto"/>
        </w:rPr>
        <w:t>. If requested by an Investor who may be deemed to be an “underwriter,” the Company shall make available, during normal business hours, for inspection and review by such Investor, advisors to and representatives of such Investor (who may or may not be affiliated with the Investor and who are reasonably acceptable to the Company), all financial and other records, all SEC Filings (as defined in the Purchase Agreement) and other filings with the SEC, and all other corporate documents and properties of the Company as may be reasonably necessary for the purpose of such review, and cause the Company’s officers, directors and employees, within a reasonable time period, to supply all such information reasonably requested by the Investor or any such representative, advisor or underwriter in connection with such Registration Statement (including, without limitation, in response to all questions and other inquiries reasonably made or submitted by any of them), prior to and from time to time after the filing and effectiveness of the Registration Statement for the sole purpose of enabling the Investor and such representatives, advisors and underwriters and their respective accountants and attorneys to conduct initial and ongoing due diligence with respect to the Company and the accuracy of such Registration Statement.</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shall not disclose material nonpublic information to any such Investor, or to advisors to or representatives of the Investor, unless prior to disclosure of such information the Company identifies such information as being material nonpublic information and provides the Investor, such advisors and representatives with the opportunity to accept or refuse to accept such material nonpublic information for review and any such Investor wishing to obtain such information enters into an appropriate confidentiality agreement with the Company with respect thereto.</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ind w:left="820" w:hanging="18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Obligations of the Investors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0" w:firstLine="980"/>
        <w:spacing w:after="0" w:line="272" w:lineRule="auto"/>
        <w:tabs>
          <w:tab w:leader="none" w:pos="1197" w:val="left"/>
        </w:tabs>
        <w:numPr>
          <w:ilvl w:val="1"/>
          <w:numId w:val="36"/>
        </w:numPr>
        <w:rPr>
          <w:rFonts w:ascii="Arial" w:cs="Arial" w:eastAsia="Arial" w:hAnsi="Arial"/>
          <w:sz w:val="17"/>
          <w:szCs w:val="17"/>
          <w:color w:val="auto"/>
        </w:rPr>
      </w:pPr>
      <w:r>
        <w:rPr>
          <w:rFonts w:ascii="Arial" w:cs="Arial" w:eastAsia="Arial" w:hAnsi="Arial"/>
          <w:sz w:val="17"/>
          <w:szCs w:val="17"/>
          <w:color w:val="auto"/>
        </w:rPr>
        <w:t>Each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five (5) Business Days prior to the first anticipated filing date of any Registration Statement, the Company shall notify each Investor of the information the Company requires from such Investor if such Investor elects to have any of the Registrable Securities included in the Registration Statement. An Investor shall provide such information to the Company at least two (2) Business Days prior to the first anticipated filing date of such Registration Statement if such Investor elects to have any of the Registrable Securities included in the Registration Statement.</w:t>
      </w:r>
    </w:p>
    <w:p>
      <w:pPr>
        <w:spacing w:after="0" w:line="177" w:lineRule="exact"/>
        <w:rPr>
          <w:rFonts w:ascii="Arial" w:cs="Arial" w:eastAsia="Arial" w:hAnsi="Arial"/>
          <w:sz w:val="17"/>
          <w:szCs w:val="17"/>
          <w:color w:val="auto"/>
        </w:rPr>
      </w:pPr>
    </w:p>
    <w:p>
      <w:pPr>
        <w:jc w:val="both"/>
        <w:ind w:left="-20" w:firstLine="980"/>
        <w:spacing w:after="0" w:line="264" w:lineRule="auto"/>
        <w:tabs>
          <w:tab w:leader="none" w:pos="1207" w:val="left"/>
        </w:tabs>
        <w:numPr>
          <w:ilvl w:val="1"/>
          <w:numId w:val="36"/>
        </w:numPr>
        <w:rPr>
          <w:rFonts w:ascii="Arial" w:cs="Arial" w:eastAsia="Arial" w:hAnsi="Arial"/>
          <w:sz w:val="18"/>
          <w:szCs w:val="18"/>
          <w:color w:val="auto"/>
        </w:rPr>
      </w:pPr>
      <w:r>
        <w:rPr>
          <w:rFonts w:ascii="Arial" w:cs="Arial" w:eastAsia="Arial" w:hAnsi="Arial"/>
          <w:sz w:val="18"/>
          <w:szCs w:val="18"/>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181" w:lineRule="exact"/>
        <w:rPr>
          <w:rFonts w:ascii="Arial" w:cs="Arial" w:eastAsia="Arial" w:hAnsi="Arial"/>
          <w:sz w:val="18"/>
          <w:szCs w:val="18"/>
          <w:color w:val="auto"/>
        </w:rPr>
      </w:pPr>
    </w:p>
    <w:p>
      <w:pPr>
        <w:ind w:left="-20" w:right="300" w:firstLine="980"/>
        <w:spacing w:after="0" w:line="259" w:lineRule="auto"/>
        <w:tabs>
          <w:tab w:leader="none" w:pos="1197" w:val="left"/>
        </w:tabs>
        <w:numPr>
          <w:ilvl w:val="1"/>
          <w:numId w:val="36"/>
        </w:numPr>
        <w:rPr>
          <w:rFonts w:ascii="Arial" w:cs="Arial" w:eastAsia="Arial" w:hAnsi="Arial"/>
          <w:sz w:val="18"/>
          <w:szCs w:val="18"/>
          <w:color w:val="auto"/>
        </w:rPr>
      </w:pPr>
      <w:r>
        <w:rPr>
          <w:rFonts w:ascii="Arial" w:cs="Arial" w:eastAsia="Arial" w:hAnsi="Arial"/>
          <w:sz w:val="18"/>
          <w:szCs w:val="18"/>
          <w:color w:val="auto"/>
        </w:rPr>
        <w:t>Each Investor agrees that, upon receipt of any notice from the Company of either (i) the commencement of an Allowed Delay pursuant to Section 2(c)(ii) or (ii) the happening of an event pursuant to Section 3(h) hereof, such Investor will immediately discontinue disposition of Registrable Securities pursuant to the Registration Statement covering such Registrable Securities, until the Investor is advised by the Company that such dispositions may again be made.</w:t>
      </w:r>
    </w:p>
    <w:p>
      <w:pPr>
        <w:spacing w:after="0" w:line="186" w:lineRule="exact"/>
        <w:rPr>
          <w:rFonts w:ascii="Arial" w:cs="Arial" w:eastAsia="Arial" w:hAnsi="Arial"/>
          <w:sz w:val="18"/>
          <w:szCs w:val="18"/>
          <w:color w:val="auto"/>
        </w:rPr>
      </w:pPr>
    </w:p>
    <w:p>
      <w:pPr>
        <w:ind w:left="820" w:hanging="18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60" w:firstLine="980"/>
        <w:spacing w:after="0" w:line="285" w:lineRule="auto"/>
        <w:tabs>
          <w:tab w:leader="none" w:pos="1197"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xml:space="preserve">. The Company will indemnify and hold harmless each Investor and its officers, directors, members, managers, partners, trustees, employees and agents and other representatives, successors and assigns, and each other person, if any, who controls such Investor within the meaning of the 1933 Act, against any losses, claims, damages or liabilities, joint or several, to which they may become subject under the 1933 Act or otherwise, insofar as such losses, claims, damages or liabilities (or actions in respect thereof) arise out of or are based upon: (i) any untrue statement or alleged untrue statement or omission or alleged omission of any material fact contained in any Registration Statement, any Prospectus, or any amendment or supplement thereof; (ii) any blue sky application or other document executed by the Company specifically for that purpose or based upon written information furnished by the Company filed in any state or other jurisdiction in order to qualify any or all of the Registrable Securities under the securities laws thereof (any such application, document or information herein called a “Blue Sky Application”); (iii) the omission or alleged omission to state in a Blue Sky Application a material fact required to be stated therein or necessary to make the statements therein not misleading; (iv) any violation by the Company or its agents of any rule or regulation promulgated under the 1933 Act applicable to the Company or its agents and relating to action or inaction required of the Company in connection with such registration; or (v) any failure to register or qualify the Registrable Securities included in any such Registration Statement in any state where the Company or its agents has affirmatively undertaken or agreed in writing that the Company will undertake such registration or qualification on an Investor’s behalf and will reimburse such Investor, and each such officer, director or member and each such controlling person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if and to the extent that any such loss, claim, damage or liability arises out of or is based upon an untrue statement or alleged untrue statement or omission or alleged omission so made in conformity with information furnished by such Investor or any such controlling person in writing specifically for use in such Registration Statement or Prospectus.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59" w:name="page60"/>
    <w:bookmarkEnd w:id="59"/>
    <w:p>
      <w:pPr>
        <w:ind w:left="-20" w:firstLine="980"/>
        <w:spacing w:after="0" w:line="270" w:lineRule="auto"/>
        <w:tabs>
          <w:tab w:leader="none" w:pos="1207"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Indemnification by the Investors</w:t>
      </w:r>
      <w:r>
        <w:rPr>
          <w:rFonts w:ascii="Arial" w:cs="Arial" w:eastAsia="Arial" w:hAnsi="Arial"/>
          <w:sz w:val="17"/>
          <w:szCs w:val="17"/>
          <w:color w:val="auto"/>
        </w:rPr>
        <w:t>. Each Investor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attorney fees) resulting from any untrue statement of a material fact or any omission of a material fact required to be stated in the Registration Statement or Prospectus or amendment or supplement thereto or necessary to make the statements therein not misleading, to the extent, but only to the extent that such untrue statement or omission is contained in any information furnished in writing by such Investor to the Company specifically for inclusion in such Registration Statement or Prospectus or amendment or supplement thereto. In no event shall the liability of an Investor be greater in amount than the dollar amount of the proceeds (net of all expenses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the Registration Statement giving rise to such indemnification obligation.</w:t>
      </w:r>
    </w:p>
    <w:p>
      <w:pPr>
        <w:spacing w:after="0" w:line="177" w:lineRule="exact"/>
        <w:rPr>
          <w:rFonts w:ascii="Arial" w:cs="Arial" w:eastAsia="Arial" w:hAnsi="Arial"/>
          <w:sz w:val="17"/>
          <w:szCs w:val="17"/>
          <w:color w:val="auto"/>
        </w:rPr>
      </w:pPr>
    </w:p>
    <w:p>
      <w:pPr>
        <w:ind w:left="-20" w:right="60" w:firstLine="980"/>
        <w:spacing w:after="0" w:line="286" w:lineRule="auto"/>
        <w:tabs>
          <w:tab w:leader="none" w:pos="1197"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Any person entitled to indemnification hereunder shall (i) give prompt notice to the indemnifying party of any claim with respect to which it seeks indemnification and (ii) permit such indemnifying party to assume the defense of such claim with counsel reasonably satisfactory to the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or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0" w:name="page61"/>
    <w:bookmarkEnd w:id="60"/>
    <w:p>
      <w:pPr>
        <w:ind w:right="80" w:firstLine="980"/>
        <w:spacing w:after="0" w:line="253" w:lineRule="auto"/>
        <w:tabs>
          <w:tab w:leader="none" w:pos="1227"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 In no event shall the contribution obligation of a holder of Registrable Securities be greater in amount than the dollar amount of the proceeds (net of all expenses paid by such holder in connection with any claim relating to this Section 6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0"/>
        <w:spacing w:after="0" w:line="264" w:lineRule="auto"/>
        <w:tabs>
          <w:tab w:leader="none" w:pos="1217"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Any term of this Agreement may be amended and the observance of any term of this Agreement may be waived (either generally or in a particular instance and either retroactively or prospectively), only with the written consent of the Company and the Required Investors.</w:t>
      </w:r>
    </w:p>
    <w:p>
      <w:pPr>
        <w:spacing w:after="0" w:line="181" w:lineRule="exact"/>
        <w:rPr>
          <w:rFonts w:ascii="Arial" w:cs="Arial" w:eastAsia="Arial" w:hAnsi="Arial"/>
          <w:sz w:val="18"/>
          <w:szCs w:val="18"/>
          <w:color w:val="auto"/>
        </w:rPr>
      </w:pPr>
    </w:p>
    <w:p>
      <w:pPr>
        <w:ind w:left="1240" w:hanging="260"/>
        <w:spacing w:after="0"/>
        <w:tabs>
          <w:tab w:leader="none" w:pos="1240"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provided for or permitted hereunder shall be made as set forth in Section 9.4 of the Purchase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firstLine="980"/>
        <w:spacing w:after="0" w:line="279" w:lineRule="auto"/>
        <w:tabs>
          <w:tab w:leader="none" w:pos="1217"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Assignments and Transfers by Investors</w:t>
      </w:r>
      <w:r>
        <w:rPr>
          <w:rFonts w:ascii="Arial" w:cs="Arial" w:eastAsia="Arial" w:hAnsi="Arial"/>
          <w:sz w:val="17"/>
          <w:szCs w:val="17"/>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such Investor complies with all laws applicable thereto and provides written notice of assignment to the Company promptly after such assignment is effected.</w:t>
      </w:r>
    </w:p>
    <w:p>
      <w:pPr>
        <w:spacing w:after="0" w:line="171" w:lineRule="exact"/>
        <w:rPr>
          <w:rFonts w:ascii="Arial" w:cs="Arial" w:eastAsia="Arial" w:hAnsi="Arial"/>
          <w:sz w:val="17"/>
          <w:szCs w:val="17"/>
          <w:color w:val="auto"/>
        </w:rPr>
      </w:pPr>
    </w:p>
    <w:p>
      <w:pPr>
        <w:ind w:right="40" w:firstLine="980"/>
        <w:spacing w:after="0" w:line="255" w:lineRule="auto"/>
        <w:tabs>
          <w:tab w:leader="none" w:pos="1227"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the Company</w:t>
      </w:r>
      <w:r>
        <w:rPr>
          <w:rFonts w:ascii="Arial" w:cs="Arial" w:eastAsia="Arial" w:hAnsi="Arial"/>
          <w:sz w:val="18"/>
          <w:szCs w:val="18"/>
          <w:color w:val="auto"/>
        </w:rPr>
        <w:t xml:space="preserve">. This Agreement may not be assigned by the Company (whether by operation of law or otherwise) without the prior written consent of the Required Investors;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1" w:name="page62"/>
    <w:bookmarkEnd w:id="61"/>
    <w:p>
      <w:pPr>
        <w:ind w:right="340" w:firstLine="980"/>
        <w:spacing w:after="0" w:line="259" w:lineRule="auto"/>
        <w:tabs>
          <w:tab w:leader="none" w:pos="121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Benefits of the Agreement</w:t>
      </w:r>
      <w:r>
        <w:rPr>
          <w:rFonts w:ascii="Arial" w:cs="Arial" w:eastAsia="Arial" w:hAnsi="Arial"/>
          <w:sz w:val="18"/>
          <w:szCs w:val="18"/>
          <w:color w:val="auto"/>
        </w:rPr>
        <w:t>. The terms and conditions of this Agreement shall inure to the benefit of and be binding upon the respective successors and permitted assigns of the parties.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w:t>
      </w:r>
    </w:p>
    <w:p>
      <w:pPr>
        <w:spacing w:after="0" w:line="186" w:lineRule="exact"/>
        <w:rPr>
          <w:rFonts w:ascii="Arial" w:cs="Arial" w:eastAsia="Arial" w:hAnsi="Arial"/>
          <w:sz w:val="18"/>
          <w:szCs w:val="18"/>
          <w:color w:val="auto"/>
        </w:rPr>
      </w:pPr>
    </w:p>
    <w:p>
      <w:pPr>
        <w:ind w:right="320" w:firstLine="980"/>
        <w:spacing w:after="0" w:line="264" w:lineRule="auto"/>
        <w:tabs>
          <w:tab w:leader="none" w:pos="119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Counterparts; Faxes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This Agreement may be delivered via facsimile or other form of electronic communication, which shall be deemed an original.</w:t>
      </w:r>
    </w:p>
    <w:p>
      <w:pPr>
        <w:spacing w:after="0" w:line="181" w:lineRule="exact"/>
        <w:rPr>
          <w:rFonts w:ascii="Arial" w:cs="Arial" w:eastAsia="Arial" w:hAnsi="Arial"/>
          <w:sz w:val="18"/>
          <w:szCs w:val="18"/>
          <w:color w:val="auto"/>
        </w:rPr>
      </w:pPr>
    </w:p>
    <w:p>
      <w:pPr>
        <w:ind w:right="80" w:firstLine="980"/>
        <w:spacing w:after="0" w:line="277" w:lineRule="auto"/>
        <w:tabs>
          <w:tab w:leader="none" w:pos="122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rFonts w:ascii="Arial" w:cs="Arial" w:eastAsia="Arial" w:hAnsi="Arial"/>
          <w:sz w:val="18"/>
          <w:szCs w:val="18"/>
          <w:color w:val="auto"/>
        </w:rPr>
      </w:pPr>
    </w:p>
    <w:p>
      <w:pPr>
        <w:ind w:right="80" w:firstLine="980"/>
        <w:spacing w:after="0" w:line="257" w:lineRule="auto"/>
        <w:tabs>
          <w:tab w:leader="none" w:pos="122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88" w:lineRule="exact"/>
        <w:rPr>
          <w:rFonts w:ascii="Arial" w:cs="Arial" w:eastAsia="Arial" w:hAnsi="Arial"/>
          <w:sz w:val="18"/>
          <w:szCs w:val="18"/>
          <w:color w:val="auto"/>
        </w:rPr>
      </w:pPr>
    </w:p>
    <w:p>
      <w:pPr>
        <w:ind w:right="160" w:firstLine="980"/>
        <w:spacing w:after="0" w:line="308" w:lineRule="auto"/>
        <w:tabs>
          <w:tab w:leader="none" w:pos="1187"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46" w:lineRule="exact"/>
        <w:rPr>
          <w:rFonts w:ascii="Arial" w:cs="Arial" w:eastAsia="Arial" w:hAnsi="Arial"/>
          <w:sz w:val="17"/>
          <w:szCs w:val="17"/>
          <w:color w:val="auto"/>
        </w:rPr>
      </w:pPr>
    </w:p>
    <w:p>
      <w:pPr>
        <w:ind w:right="60" w:firstLine="980"/>
        <w:spacing w:after="0" w:line="264" w:lineRule="auto"/>
        <w:tabs>
          <w:tab w:leader="none" w:pos="118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81" w:lineRule="exact"/>
        <w:rPr>
          <w:rFonts w:ascii="Arial" w:cs="Arial" w:eastAsia="Arial" w:hAnsi="Arial"/>
          <w:sz w:val="18"/>
          <w:szCs w:val="18"/>
          <w:color w:val="auto"/>
        </w:rPr>
      </w:pPr>
    </w:p>
    <w:p>
      <w:pPr>
        <w:ind w:firstLine="980"/>
        <w:spacing w:after="0" w:line="283" w:lineRule="auto"/>
        <w:tabs>
          <w:tab w:leader="none" w:pos="122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Governing Law; Consent to Jurisdiction; Waiver of Jury Trial</w:t>
      </w:r>
      <w:r>
        <w:rPr>
          <w:rFonts w:ascii="Arial" w:cs="Arial" w:eastAsia="Arial" w:hAnsi="Arial"/>
          <w:sz w:val="16"/>
          <w:szCs w:val="16"/>
          <w:color w:val="auto"/>
        </w:rPr>
        <w:t xml:space="preserve">. This Agreement shall be governed by, and construed in accordance with, the internal laws of the State of New York without regard to the choice of law principles thereof.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w:t>
      </w:r>
      <w:r>
        <w:rPr>
          <w:rFonts w:ascii="Arial" w:cs="Arial" w:eastAsia="Arial" w:hAnsi="Arial"/>
          <w:sz w:val="16"/>
          <w:szCs w:val="16"/>
          <w:b w:val="1"/>
          <w:bCs w:val="1"/>
          <w:color w:val="auto"/>
        </w:rPr>
        <w:t>EACH OF THE PARTIES HERETO WAIVES ANY RIGHT TO REQUEST A TRIAL BY JURY IN ANY</w:t>
      </w:r>
    </w:p>
    <w:p>
      <w:pPr>
        <w:spacing w:after="0" w:line="6" w:lineRule="exact"/>
        <w:rPr>
          <w:rFonts w:ascii="Arial" w:cs="Arial" w:eastAsia="Arial" w:hAnsi="Arial"/>
          <w:sz w:val="16"/>
          <w:szCs w:val="16"/>
          <w:color w:val="auto"/>
        </w:rPr>
      </w:pPr>
    </w:p>
    <w:p>
      <w:pPr>
        <w:ind w:right="38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LITIGATION WITH RESPECT TO OR ARISING OUT OF THIS AGREEMENT OR THE TRANSACTIONS CONTEMPLATED HEREBY AND REPRESENTS THAT COUNSEL HAS BEEN CONSULTED SPECIFICALLY AS TO THIS WAIVER.</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62" w:name="page63"/>
    <w:bookmarkEnd w:id="62"/>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The Company:</w:t>
      </w:r>
      <w:r>
        <w:rPr>
          <w:sz w:val="20"/>
          <w:szCs w:val="20"/>
          <w:color w:val="auto"/>
        </w:rPr>
        <w:tab/>
      </w:r>
      <w:r>
        <w:rPr>
          <w:rFonts w:ascii="Arial" w:cs="Arial" w:eastAsia="Arial" w:hAnsi="Arial"/>
          <w:sz w:val="17"/>
          <w:szCs w:val="17"/>
          <w:color w:val="auto"/>
        </w:rPr>
        <w:t>OPTIMIZERX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The Investors:</w:t>
            </w:r>
          </w:p>
        </w:tc>
        <w:tc>
          <w:tcPr>
            <w:tcW w:w="8120" w:type="dxa"/>
            <w:vAlign w:val="bottom"/>
            <w:gridSpan w:val="2"/>
          </w:tcPr>
          <w:p>
            <w:pPr>
              <w:ind w:left="3560"/>
              <w:spacing w:after="0"/>
              <w:rPr>
                <w:sz w:val="20"/>
                <w:szCs w:val="20"/>
                <w:color w:val="auto"/>
              </w:rPr>
            </w:pPr>
            <w:r>
              <w:rPr>
                <w:rFonts w:ascii="Arial" w:cs="Arial" w:eastAsia="Arial" w:hAnsi="Arial"/>
                <w:sz w:val="18"/>
                <w:szCs w:val="18"/>
                <w:color w:val="auto"/>
              </w:rPr>
              <w:t>SPECIAL SITUATIONS FUND III QP, L.P.</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3560"/>
              <w:spacing w:after="0"/>
              <w:rPr>
                <w:sz w:val="20"/>
                <w:szCs w:val="20"/>
                <w:color w:val="auto"/>
              </w:rPr>
            </w:pPr>
            <w:r>
              <w:rPr>
                <w:rFonts w:ascii="Arial" w:cs="Arial" w:eastAsia="Arial" w:hAnsi="Arial"/>
                <w:sz w:val="18"/>
                <w:szCs w:val="18"/>
                <w:color w:val="auto"/>
              </w:rPr>
              <w:t>SPECIAL SITUATIONS CAYMAN FUND, L.P.</w:t>
            </w:r>
          </w:p>
        </w:tc>
      </w:tr>
      <w:tr>
        <w:trPr>
          <w:trHeight w:val="230"/>
        </w:trPr>
        <w:tc>
          <w:tcPr>
            <w:tcW w:w="3300" w:type="dxa"/>
            <w:vAlign w:val="bottom"/>
          </w:tcPr>
          <w:p>
            <w:pPr>
              <w:spacing w:after="0"/>
              <w:rPr>
                <w:sz w:val="20"/>
                <w:szCs w:val="20"/>
                <w:color w:val="auto"/>
              </w:rPr>
            </w:pPr>
          </w:p>
        </w:tc>
        <w:tc>
          <w:tcPr>
            <w:tcW w:w="8120" w:type="dxa"/>
            <w:vAlign w:val="bottom"/>
            <w:gridSpan w:val="2"/>
          </w:tcPr>
          <w:p>
            <w:pPr>
              <w:ind w:left="3560"/>
              <w:spacing w:after="0"/>
              <w:rPr>
                <w:sz w:val="20"/>
                <w:szCs w:val="20"/>
                <w:color w:val="auto"/>
              </w:rPr>
            </w:pPr>
            <w:r>
              <w:rPr>
                <w:rFonts w:ascii="Arial" w:cs="Arial" w:eastAsia="Arial" w:hAnsi="Arial"/>
                <w:sz w:val="18"/>
                <w:szCs w:val="18"/>
                <w:color w:val="auto"/>
              </w:rPr>
              <w:t>SPECIAL SITUATIONS PRIVATE EQUITY FUND, L.P.</w:t>
            </w:r>
          </w:p>
        </w:tc>
      </w:tr>
      <w:tr>
        <w:trPr>
          <w:trHeight w:val="439"/>
        </w:trPr>
        <w:tc>
          <w:tcPr>
            <w:tcW w:w="3300" w:type="dxa"/>
            <w:vAlign w:val="bottom"/>
          </w:tcPr>
          <w:p>
            <w:pPr>
              <w:spacing w:after="0"/>
              <w:rPr>
                <w:sz w:val="24"/>
                <w:szCs w:val="24"/>
                <w:color w:val="auto"/>
              </w:rPr>
            </w:pPr>
          </w:p>
        </w:tc>
        <w:tc>
          <w:tcPr>
            <w:tcW w:w="8120" w:type="dxa"/>
            <w:vAlign w:val="bottom"/>
            <w:gridSpan w:val="2"/>
          </w:tcPr>
          <w:p>
            <w:pPr>
              <w:ind w:left="3560"/>
              <w:spacing w:after="0"/>
              <w:rPr>
                <w:sz w:val="20"/>
                <w:szCs w:val="20"/>
                <w:color w:val="auto"/>
              </w:rPr>
            </w:pPr>
            <w:r>
              <w:rPr>
                <w:rFonts w:ascii="Arial" w:cs="Arial" w:eastAsia="Arial" w:hAnsi="Arial"/>
                <w:sz w:val="18"/>
                <w:szCs w:val="18"/>
                <w:color w:val="auto"/>
              </w:rPr>
              <w:t>By:</w:t>
            </w:r>
          </w:p>
        </w:tc>
      </w:tr>
      <w:tr>
        <w:trPr>
          <w:trHeight w:val="188"/>
        </w:trPr>
        <w:tc>
          <w:tcPr>
            <w:tcW w:w="3300" w:type="dxa"/>
            <w:vAlign w:val="bottom"/>
          </w:tcPr>
          <w:p>
            <w:pPr>
              <w:spacing w:after="0"/>
              <w:rPr>
                <w:sz w:val="16"/>
                <w:szCs w:val="16"/>
                <w:color w:val="auto"/>
              </w:rPr>
            </w:pPr>
          </w:p>
        </w:tc>
        <w:tc>
          <w:tcPr>
            <w:tcW w:w="4020" w:type="dxa"/>
            <w:vAlign w:val="bottom"/>
          </w:tcPr>
          <w:p>
            <w:pPr>
              <w:ind w:left="3560"/>
              <w:spacing w:after="0" w:line="189" w:lineRule="exact"/>
              <w:rPr>
                <w:sz w:val="20"/>
                <w:szCs w:val="20"/>
                <w:color w:val="auto"/>
              </w:rPr>
            </w:pPr>
            <w:r>
              <w:rPr>
                <w:rFonts w:ascii="Arial" w:cs="Arial" w:eastAsia="Arial" w:hAnsi="Arial"/>
                <w:sz w:val="18"/>
                <w:szCs w:val="18"/>
                <w:color w:val="auto"/>
                <w:w w:val="82"/>
              </w:rPr>
              <w:t>Name:</w:t>
            </w:r>
          </w:p>
        </w:tc>
        <w:tc>
          <w:tcPr>
            <w:tcW w:w="4100" w:type="dxa"/>
            <w:vAlign w:val="bottom"/>
            <w:tcBorders>
              <w:top w:val="single" w:sz="8" w:color="auto"/>
            </w:tcBorders>
          </w:tcPr>
          <w:p>
            <w:pPr>
              <w:spacing w:after="0"/>
              <w:rPr>
                <w:sz w:val="16"/>
                <w:szCs w:val="16"/>
                <w:color w:val="auto"/>
              </w:rPr>
            </w:pPr>
          </w:p>
        </w:tc>
      </w:tr>
      <w:tr>
        <w:trPr>
          <w:trHeight w:val="230"/>
        </w:trPr>
        <w:tc>
          <w:tcPr>
            <w:tcW w:w="3300" w:type="dxa"/>
            <w:vAlign w:val="bottom"/>
          </w:tcPr>
          <w:p>
            <w:pPr>
              <w:spacing w:after="0"/>
              <w:rPr>
                <w:sz w:val="20"/>
                <w:szCs w:val="20"/>
                <w:color w:val="auto"/>
              </w:rPr>
            </w:pPr>
          </w:p>
        </w:tc>
        <w:tc>
          <w:tcPr>
            <w:tcW w:w="8120" w:type="dxa"/>
            <w:vAlign w:val="bottom"/>
            <w:gridSpan w:val="2"/>
          </w:tcPr>
          <w:p>
            <w:pPr>
              <w:ind w:left="3560"/>
              <w:spacing w:after="0"/>
              <w:rPr>
                <w:sz w:val="20"/>
                <w:szCs w:val="20"/>
                <w:color w:val="auto"/>
              </w:rPr>
            </w:pPr>
            <w:r>
              <w:rPr>
                <w:rFonts w:ascii="Arial" w:cs="Arial" w:eastAsia="Arial" w:hAnsi="Arial"/>
                <w:sz w:val="18"/>
                <w:szCs w:val="18"/>
                <w:color w:val="auto"/>
              </w:rPr>
              <w:t>Title: General Partner</w:t>
            </w:r>
          </w:p>
        </w:tc>
      </w:tr>
      <w:tr>
        <w:trPr>
          <w:trHeight w:val="655"/>
        </w:trPr>
        <w:tc>
          <w:tcPr>
            <w:tcW w:w="33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-14-</w:t>
            </w: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4" w:name="page65"/>
    <w:bookmarkEnd w:id="64"/>
    <w:p>
      <w:pPr>
        <w:ind w:left="5660"/>
        <w:spacing w:after="0"/>
        <w:rPr>
          <w:sz w:val="20"/>
          <w:szCs w:val="20"/>
          <w:color w:val="auto"/>
        </w:rPr>
      </w:pPr>
      <w:r>
        <w:rPr>
          <w:rFonts w:ascii="Arial" w:cs="Arial" w:eastAsia="Arial" w:hAnsi="Arial"/>
          <w:sz w:val="17"/>
          <w:szCs w:val="17"/>
          <w:color w:val="auto"/>
        </w:rPr>
        <w:t>PARK WEST PARTNERS INTERNATIONAL, LIMITED</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PARK WEST INVESTORS MASTER FUND, LIMITED</w:t>
      </w:r>
    </w:p>
    <w:p>
      <w:pPr>
        <w:spacing w:after="0" w:line="222"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Park West Asset Management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Investment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Grace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-130810</wp:posOffset>
            </wp:positionV>
            <wp:extent cx="260731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920"/>
          </w:cols>
          <w:pgMar w:left="1440" w:top="909" w:right="539" w:bottom="1440" w:gutter="0" w:footer="0" w:header="0"/>
        </w:sectPr>
      </w:pPr>
    </w:p>
    <w:bookmarkStart w:id="65" w:name="page66"/>
    <w:bookmarkEnd w:id="65"/>
    <w:p>
      <w:pPr>
        <w:ind w:left="5660"/>
        <w:spacing w:after="0"/>
        <w:rPr>
          <w:sz w:val="20"/>
          <w:szCs w:val="20"/>
          <w:color w:val="auto"/>
        </w:rPr>
      </w:pPr>
      <w:r>
        <w:rPr>
          <w:rFonts w:ascii="Arial" w:cs="Arial" w:eastAsia="Arial" w:hAnsi="Arial"/>
          <w:sz w:val="18"/>
          <w:szCs w:val="18"/>
          <w:color w:val="auto"/>
        </w:rPr>
        <w:t>FIRST BANK &amp; TRUST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CUSTODIAN FOR RONALD L. CHEZ IRA</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Karen Rose, as custodian for Ronald L. Chez 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-130810</wp:posOffset>
            </wp:positionV>
            <wp:extent cx="260731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00"/>
          </w:cols>
          <w:pgMar w:left="1440" w:top="908" w:right="6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right="20" w:firstLine="648"/>
        <w:spacing w:after="0" w:line="255" w:lineRule="auto"/>
        <w:rPr>
          <w:sz w:val="20"/>
          <w:szCs w:val="20"/>
          <w:color w:val="auto"/>
        </w:rPr>
      </w:pPr>
      <w:r>
        <w:rPr>
          <w:rFonts w:ascii="Arial" w:cs="Arial" w:eastAsia="Arial" w:hAnsi="Arial"/>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ind w:firstLine="648"/>
        <w:spacing w:after="0" w:line="257"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agreed with the selling stockholders to keep the registration statement of which this prospectus constitutes a part effective until the earlier of</w:t>
      </w:r>
    </w:p>
    <w:p>
      <w:pPr>
        <w:spacing w:after="0" w:line="46" w:lineRule="exact"/>
        <w:rPr>
          <w:sz w:val="20"/>
          <w:szCs w:val="20"/>
          <w:color w:val="auto"/>
        </w:rPr>
      </w:pPr>
    </w:p>
    <w:p>
      <w:pPr>
        <w:jc w:val="both"/>
        <w:ind w:firstLine="8"/>
        <w:spacing w:after="0" w:line="277" w:lineRule="auto"/>
        <w:tabs>
          <w:tab w:leader="none" w:pos="22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date that such securities become eligible for resale without volume or manner-of-sale restrictions and without current public information pursuant to Rule 144 and certain other conditions have been satisfied, or (ii) all of the securities have been sold or otherwise disposed of pursuant to the registration statement of which this prospectus forms a part or in a transaction in which the transferee receives freely tradable shares.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 Febbo, certify that;</w:t>
      </w:r>
    </w:p>
    <w:p>
      <w:pPr>
        <w:spacing w:after="0" w:line="22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2018 of OptimizeRx Corp (the “registrant”);</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Will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12"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Baker, certify that;</w:t>
      </w:r>
    </w:p>
    <w:p>
      <w:pPr>
        <w:spacing w:after="0" w:line="22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2018 of OptimizeRx Corp (the “registrant”);</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12"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March 31, 2018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Will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May 2,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Douglas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May 2,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lvl w:ilvl="1">
      <w:lvlJc w:val="left"/>
      <w:lvlText w:val="☐"/>
      <w:numFmt w:val="bullet"/>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lvl w:ilvl="1">
      <w:lvlJc w:val="left"/>
      <w:lvlText w:val="%2."/>
      <w:numFmt w:val="decimal"/>
      <w:start w:val="4"/>
    </w:lvl>
  </w:abstractNum>
  <w:abstractNum w:abstractNumId="4">
    <w:nsid w:val="79838CB2"/>
    <w:multiLevelType w:val="hybridMultilevel"/>
    <w:lvl w:ilvl="0">
      <w:lvlJc w:val="left"/>
      <w:lvlText w:val="(%1)"/>
      <w:numFmt w:val="lowerRoman"/>
      <w:start w:val="1"/>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Letter"/>
      <w:start w:val="3"/>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3"/>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Letter"/>
      <w:start w:val="3"/>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decimal"/>
      <w:start w:val="6"/>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2"/>
    </w:lvl>
  </w:abstractNum>
  <w:abstractNum w:abstractNumId="15">
    <w:nsid w:val="1E7FF521"/>
    <w:multiLevelType w:val="hybridMultilevel"/>
    <w:lvl w:ilvl="0">
      <w:lvlJc w:val="left"/>
      <w:lvlText w:val="(%1)"/>
      <w:numFmt w:val="lowerLetter"/>
      <w:start w:val="8"/>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Roman"/>
      <w:start w:val="1"/>
    </w:lvl>
  </w:abstractNum>
  <w:abstractNum w:abstractNumId="18">
    <w:nsid w:val="6CEAF087"/>
    <w:multiLevelType w:val="hybridMultilevel"/>
    <w:lvl w:ilvl="0">
      <w:lvlJc w:val="left"/>
      <w:lvlText w:val="(%1)"/>
      <w:numFmt w:val="lowerLetter"/>
      <w:start w:val="2"/>
    </w:lvl>
  </w:abstractNum>
  <w:abstractNum w:abstractNumId="19">
    <w:nsid w:val="22221A70"/>
    <w:multiLevelType w:val="hybridMultilevel"/>
    <w:lvl w:ilvl="0">
      <w:lvlJc w:val="left"/>
      <w:lvlText w:val="%1."/>
      <w:numFmt w:val="decimal"/>
      <w:start w:val="7"/>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2"/>
    </w:lvl>
  </w:abstractNum>
  <w:abstractNum w:abstractNumId="22">
    <w:nsid w:val="614FD4A1"/>
    <w:multiLevelType w:val="hybridMultilevel"/>
    <w:lvl w:ilvl="0">
      <w:lvlJc w:val="left"/>
      <w:lvlText w:val="%1."/>
      <w:numFmt w:val="decimal"/>
      <w:start w:val="8"/>
    </w:lvl>
  </w:abstractNum>
  <w:abstractNum w:abstractNumId="23">
    <w:nsid w:val="419AC241"/>
    <w:multiLevelType w:val="hybridMultilevel"/>
    <w:lvl w:ilvl="0">
      <w:lvlJc w:val="left"/>
      <w:lvlText w:val="%1."/>
      <w:numFmt w:val="decimal"/>
      <w:start w:val="9"/>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6">
    <w:nsid w:val="5072367"/>
    <w:multiLevelType w:val="hybridMultilevel"/>
    <w:lvl w:ilvl="0">
      <w:lvlJc w:val="left"/>
      <w:lvlText w:val="%1"/>
      <w:numFmt w:val="lowerLetter"/>
      <w:start w:val="1"/>
    </w:lvl>
    <w:lvl w:ilvl="1">
      <w:lvlJc w:val="left"/>
      <w:lvlText w:val="(%2)"/>
      <w:numFmt w:val="lowerLetter"/>
      <w:start w:val="35"/>
    </w:lvl>
  </w:abstractNum>
  <w:abstractNum w:abstractNumId="27">
    <w:nsid w:val="3804823E"/>
    <w:multiLevelType w:val="hybridMultilevel"/>
    <w:lvl w:ilvl="0">
      <w:lvlJc w:val="left"/>
      <w:lvlText w:val="(%1)"/>
      <w:numFmt w:val="lowerLetter"/>
      <w:start w:val="2"/>
    </w:lvl>
    <w:lvl w:ilvl="1">
      <w:lvlJc w:val="left"/>
      <w:lvlText w:val="(%2)"/>
      <w:numFmt w:val="lowerLetter"/>
      <w:start w:val="9"/>
    </w:lvl>
  </w:abstractNum>
  <w:abstractNum w:abstractNumId="28">
    <w:nsid w:val="77465F01"/>
    <w:multiLevelType w:val="hybridMultilevel"/>
    <w:lvl w:ilvl="0">
      <w:lvlJc w:val="left"/>
      <w:lvlText w:val="%1"/>
      <w:numFmt w:val="lowerLetter"/>
      <w:start w:val="1"/>
    </w:lvl>
    <w:lvl w:ilvl="1">
      <w:lvlJc w:val="left"/>
      <w:lvlText w:val="(%2)"/>
      <w:numFmt w:val="lowerLetter"/>
      <w:start w:val="35"/>
    </w:lvl>
  </w:abstractNum>
  <w:abstractNum w:abstractNumId="29">
    <w:nsid w:val="7724C67E"/>
    <w:multiLevelType w:val="hybridMultilevel"/>
    <w:lvl w:ilvl="0">
      <w:lvlJc w:val="left"/>
      <w:lvlText w:val="(%1)"/>
      <w:numFmt w:val="lowerLetter"/>
      <w:start w:val="4"/>
    </w:lvl>
    <w:lvl w:ilvl="1">
      <w:lvlJc w:val="left"/>
      <w:lvlText w:val="%2"/>
      <w:numFmt w:val="lowerLetter"/>
      <w:start w:val="1"/>
    </w:lvl>
  </w:abstractNum>
  <w:abstractNum w:abstractNumId="30">
    <w:nsid w:val="5C482A97"/>
    <w:multiLevelType w:val="hybridMultilevel"/>
    <w:lvl w:ilvl="0">
      <w:lvlJc w:val="left"/>
      <w:lvlText w:val="(%1)"/>
      <w:numFmt w:val="lowerLetter"/>
      <w:start w:val="5"/>
    </w:lvl>
    <w:lvl w:ilvl="1">
      <w:lvlJc w:val="left"/>
      <w:lvlText w:val="(%2)"/>
      <w:numFmt w:val="lowerRoman"/>
      <w:start w:val="1"/>
    </w:lvl>
  </w:abstractNum>
  <w:abstractNum w:abstractNumId="31">
    <w:nsid w:val="2463B9EA"/>
    <w:multiLevelType w:val="hybridMultilevel"/>
    <w:lvl w:ilvl="0">
      <w:lvlJc w:val="left"/>
      <w:lvlText w:val="%1."/>
      <w:numFmt w:val="decimal"/>
      <w:start w:val="3"/>
    </w:lvl>
    <w:lvl w:ilvl="1">
      <w:lvlJc w:val="left"/>
      <w:lvlText w:val="(%2)"/>
      <w:numFmt w:val="lowerLetter"/>
      <w:start w:val="1"/>
    </w:lvl>
  </w:abstractNum>
  <w:abstractNum w:abstractNumId="32">
    <w:nsid w:val="5E884ADC"/>
    <w:multiLevelType w:val="hybridMultilevel"/>
    <w:lvl w:ilvl="0">
      <w:lvlJc w:val="left"/>
      <w:lvlText w:val="(%1)"/>
      <w:numFmt w:val="lowerLetter"/>
      <w:start w:val="7"/>
    </w:lvl>
  </w:abstractNum>
  <w:abstractNum w:abstractNumId="33">
    <w:nsid w:val="51EAD36B"/>
    <w:multiLevelType w:val="hybridMultilevel"/>
    <w:lvl w:ilvl="0">
      <w:lvlJc w:val="left"/>
      <w:lvlText w:val="%1"/>
      <w:numFmt w:val="decimal"/>
      <w:start w:val="1"/>
    </w:lvl>
    <w:lvl w:ilvl="1">
      <w:lvlJc w:val="left"/>
      <w:lvlText w:val="(%2)"/>
      <w:numFmt w:val="lowerLetter"/>
      <w:start w:val="10"/>
    </w:lvl>
  </w:abstractNum>
  <w:abstractNum w:abstractNumId="34">
    <w:nsid w:val="2D517796"/>
    <w:multiLevelType w:val="hybridMultilevel"/>
    <w:lvl w:ilvl="0">
      <w:lvlJc w:val="left"/>
      <w:lvlText w:val="%1."/>
      <w:numFmt w:val="decimal"/>
      <w:start w:val="4"/>
    </w:lvl>
    <w:lvl w:ilvl="1">
      <w:lvlJc w:val="left"/>
      <w:lvlText w:val="%2"/>
      <w:numFmt w:val="lowerLetter"/>
      <w:start w:val="1"/>
    </w:lvl>
  </w:abstractNum>
  <w:abstractNum w:abstractNumId="35">
    <w:nsid w:val="580BD78F"/>
    <w:multiLevelType w:val="hybridMultilevel"/>
    <w:lvl w:ilvl="0">
      <w:lvlJc w:val="left"/>
      <w:lvlText w:val="%1."/>
      <w:numFmt w:val="decimal"/>
      <w:start w:val="5"/>
    </w:lvl>
    <w:lvl w:ilvl="1">
      <w:lvlJc w:val="left"/>
      <w:lvlText w:val="(%2)"/>
      <w:numFmt w:val="lowerLetter"/>
      <w:start w:val="1"/>
    </w:lvl>
  </w:abstractNum>
  <w:abstractNum w:abstractNumId="36">
    <w:nsid w:val="153EA438"/>
    <w:multiLevelType w:val="hybridMultilevel"/>
    <w:lvl w:ilvl="0">
      <w:lvlJc w:val="left"/>
      <w:lvlText w:val="(%1)"/>
      <w:numFmt w:val="lowerLetter"/>
      <w:start w:val="2"/>
    </w:lvl>
  </w:abstractNum>
  <w:abstractNum w:abstractNumId="37">
    <w:nsid w:val="3855585C"/>
    <w:multiLevelType w:val="hybridMultilevel"/>
    <w:lvl w:ilvl="0">
      <w:lvlJc w:val="left"/>
      <w:lvlText w:val="%1"/>
      <w:numFmt w:val="decimal"/>
      <w:start w:val="1"/>
    </w:lvl>
    <w:lvl w:ilvl="1">
      <w:lvlJc w:val="left"/>
      <w:lvlText w:val="(%2)"/>
      <w:numFmt w:val="lowerLetter"/>
      <w:start w:val="4"/>
    </w:lvl>
  </w:abstractNum>
  <w:abstractNum w:abstractNumId="38">
    <w:nsid w:val="70A64E2A"/>
    <w:multiLevelType w:val="hybridMultilevel"/>
    <w:lvl w:ilvl="0">
      <w:lvlJc w:val="left"/>
      <w:lvlText w:val="%1."/>
      <w:numFmt w:val="decimal"/>
      <w:start w:val="7"/>
    </w:lvl>
    <w:lvl w:ilvl="1">
      <w:lvlJc w:val="left"/>
      <w:lvlText w:val="(%2)"/>
      <w:numFmt w:val="lowerLetter"/>
      <w:start w:val="1"/>
    </w:lvl>
  </w:abstractNum>
  <w:abstractNum w:abstractNumId="39">
    <w:nsid w:val="6A2342EC"/>
    <w:multiLevelType w:val="hybridMultilevel"/>
    <w:lvl w:ilvl="0">
      <w:lvlJc w:val="left"/>
      <w:lvlText w:val="(%1)"/>
      <w:numFmt w:val="lowerLetter"/>
      <w:start w:val="5"/>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lowerRoman"/>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2019-12-07T14:51:53Z</dcterms:created>
  <dcterms:modified xsi:type="dcterms:W3CDTF">2019-12-07T14:51:53Z</dcterms:modified>
</cp:coreProperties>
</file>