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333-228357</w:t>
      </w:r>
    </w:p>
    <w:p>
      <w:pPr>
        <w:spacing w:after="0" w:line="21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FF0000"/>
        </w:rPr>
        <w:t>The information contained in this preliminary prospectus supplement and the accompanying prospectus is not complete and may be changed. A registration statement relating to the securities has been declared effective by the Securities and Exchange Commission. This preliminary prospectus supplement and the accompanying prospectus do not constitute an offer to sell these securities and we are not soliciting an offer to buy these securities in any jurisdiction where the offer or sale is not permitted.</w:t>
      </w:r>
    </w:p>
    <w:p>
      <w:pPr>
        <w:spacing w:after="0" w:line="18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FF0000"/>
        </w:rPr>
        <w:t>SUBJECT TO COMPLETION, DATED JUNE 4,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11, 2018)</w:t>
      </w:r>
    </w:p>
    <w:p>
      <w:pPr>
        <w:spacing w:after="0" w:line="207" w:lineRule="exact"/>
        <w:rPr>
          <w:sz w:val="24"/>
          <w:szCs w:val="24"/>
          <w:color w:val="auto"/>
        </w:rPr>
      </w:pPr>
    </w:p>
    <w:p>
      <w:pPr>
        <w:ind w:left="594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17145</wp:posOffset>
            </wp:positionV>
            <wp:extent cx="287274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274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ind w:left="660"/>
        <w:spacing w:after="0"/>
        <w:tabs>
          <w:tab w:leader="none" w:pos="7660" w:val="left"/>
        </w:tabs>
        <w:rPr>
          <w:sz w:val="20"/>
          <w:szCs w:val="20"/>
          <w:color w:val="auto"/>
        </w:rPr>
      </w:pPr>
      <w:r>
        <w:rPr>
          <w:rFonts w:ascii="Arial" w:cs="Arial" w:eastAsia="Arial" w:hAnsi="Arial"/>
          <w:sz w:val="18"/>
          <w:szCs w:val="18"/>
          <w:color w:val="auto"/>
        </w:rPr>
        <w:t>This is a public offering of common stock of OptimizeRx Corporation. We are offering</w:t>
      </w:r>
      <w:r>
        <w:rPr>
          <w:sz w:val="20"/>
          <w:szCs w:val="20"/>
          <w:color w:val="auto"/>
        </w:rPr>
        <w:tab/>
      </w:r>
      <w:r>
        <w:rPr>
          <w:rFonts w:ascii="Arial" w:cs="Arial" w:eastAsia="Arial" w:hAnsi="Arial"/>
          <w:sz w:val="16"/>
          <w:szCs w:val="16"/>
          <w:color w:val="auto"/>
        </w:rPr>
        <w:t>shares of our common stock. Our common stock is</w:t>
      </w:r>
    </w:p>
    <w:p>
      <w:pPr>
        <w:spacing w:after="0" w:line="23"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listed on the Nasdaq Capital Market under the symbol “OPRX.” On June 3, 2019, the last reported sale price of our common stock on the Nasdaq Capital Market was $14.05 per share.</w:t>
      </w:r>
    </w:p>
    <w:p>
      <w:pPr>
        <w:spacing w:after="0" w:line="180"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S-5 of this prospectus supplement and in the documents incorporated by reference in this prospectus supplement.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9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Offering proceeds, before expenses</w:t>
            </w:r>
          </w:p>
        </w:tc>
        <w:tc>
          <w:tcPr>
            <w:tcW w:w="396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4"/>
          <w:szCs w:val="24"/>
          <w:color w:val="auto"/>
        </w:rPr>
      </w:pPr>
    </w:p>
    <w:p>
      <w:pPr>
        <w:ind w:left="400" w:right="20" w:hanging="39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the section entitled “Underwriting” beginning on page S-15 of this prospectus supplement for a description of the compensation to be received by the underwriters.</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We have granted to the underwriters the option to purchase up to additional shares of our common stock from us at the public offering price, less underwriting discounts and commissions. The underwriters can exercise this option at any time within 30 days after the offering.</w:t>
      </w:r>
    </w:p>
    <w:p>
      <w:pPr>
        <w:spacing w:after="0" w:line="166"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underwriters expect to deliver the shares of common stock to investors in book-entry form through the facilities of The Depository Trust Company on or about June , 2019.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William Blair</w:t>
      </w:r>
    </w:p>
    <w:p>
      <w:pPr>
        <w:spacing w:after="0" w:line="238"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The date of this prospectus supplement is June</w:t>
      </w:r>
      <w:r>
        <w:rPr>
          <w:sz w:val="20"/>
          <w:szCs w:val="20"/>
          <w:color w:val="auto"/>
        </w:rPr>
        <w:tab/>
      </w:r>
      <w:r>
        <w:rPr>
          <w:rFonts w:ascii="Arial" w:cs="Arial" w:eastAsia="Arial" w:hAnsi="Arial"/>
          <w:sz w:val="15"/>
          <w:szCs w:val="15"/>
          <w:color w:val="auto"/>
        </w:rPr>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0" w:type="dxa"/>
            <w:vAlign w:val="bottom"/>
            <w:gridSpan w:val="4"/>
          </w:tcPr>
          <w:p>
            <w:pPr>
              <w:jc w:val="center"/>
              <w:ind w:right="2960"/>
              <w:spacing w:after="0"/>
              <w:rPr>
                <w:sz w:val="20"/>
                <w:szCs w:val="20"/>
                <w:color w:val="auto"/>
              </w:rPr>
            </w:pPr>
            <w:r>
              <w:rPr>
                <w:rFonts w:ascii="Arial" w:cs="Arial" w:eastAsia="Arial" w:hAnsi="Arial"/>
                <w:sz w:val="18"/>
                <w:szCs w:val="18"/>
                <w:b w:val="1"/>
                <w:bCs w:val="1"/>
                <w:color w:val="auto"/>
                <w:w w:val="87"/>
              </w:rPr>
              <w:t>Prospectus Supplement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778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Use of Proceeds</w:t>
              </w:r>
            </w:hyperlink>
          </w:p>
        </w:tc>
        <w:tc>
          <w:tcPr>
            <w:tcW w:w="910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Capitalization</w:t>
              </w:r>
            </w:hyperlink>
          </w:p>
        </w:tc>
        <w:tc>
          <w:tcPr>
            <w:tcW w:w="9260" w:type="dxa"/>
            <w:vAlign w:val="bottom"/>
            <w:tcBorders>
              <w:bottom w:val="single" w:sz="8" w:color="CCEEFF"/>
            </w:tcBorders>
            <w:gridSpan w:val="1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Material U.S. Federal Income and Estate Tax Consequences to Non-U.S. Holders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Underwriting</w:t>
              </w:r>
            </w:hyperlink>
          </w:p>
        </w:tc>
        <w:tc>
          <w:tcPr>
            <w:tcW w:w="9300" w:type="dxa"/>
            <w:vAlign w:val="bottom"/>
            <w:tcBorders>
              <w:bottom w:val="single" w:sz="8" w:color="CCEEFF"/>
            </w:tcBorders>
            <w:gridSpan w:val="1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Experts</w:t>
              </w:r>
            </w:hyperlink>
          </w:p>
        </w:tc>
        <w:tc>
          <w:tcPr>
            <w:tcW w:w="9720" w:type="dxa"/>
            <w:vAlign w:val="bottom"/>
            <w:tcBorders>
              <w:bottom w:val="single" w:sz="8" w:color="CCEEFF"/>
            </w:tcBorders>
            <w:gridSpan w:val="2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Incorporation by Reference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gridSpan w:val="3"/>
          </w:tcPr>
          <w:p>
            <w:pPr>
              <w:jc w:val="center"/>
              <w:ind w:right="4600"/>
              <w:spacing w:after="0"/>
              <w:rPr>
                <w:sz w:val="20"/>
                <w:szCs w:val="20"/>
                <w:color w:val="auto"/>
              </w:rPr>
            </w:pPr>
            <w:r>
              <w:rPr>
                <w:rFonts w:ascii="Arial" w:cs="Arial" w:eastAsia="Arial" w:hAnsi="Arial"/>
                <w:sz w:val="18"/>
                <w:szCs w:val="18"/>
                <w:b w:val="1"/>
                <w:bCs w:val="1"/>
                <w:color w:val="auto"/>
                <w:w w:val="85"/>
              </w:rPr>
              <w:t>Prospectus</w:t>
            </w: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OptimizeRx Corporation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12"/>
          </w:tcPr>
          <w:p>
            <w:pPr>
              <w:spacing w:after="0" w:line="17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About This Prospectus</w:t>
              </w:r>
            </w:hyperlink>
          </w:p>
        </w:tc>
        <w:tc>
          <w:tcPr>
            <w:tcW w:w="8480" w:type="dxa"/>
            <w:vAlign w:val="bottom"/>
            <w:tcBorders>
              <w:top w:val="single" w:sz="8" w:color="CCEEFF"/>
            </w:tcBorders>
            <w:gridSpan w:val="11"/>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Incorporation By Reference</w:t>
              </w:r>
            </w:hyperlink>
          </w:p>
        </w:tc>
        <w:tc>
          <w:tcPr>
            <w:tcW w:w="8260" w:type="dxa"/>
            <w:vAlign w:val="bottom"/>
            <w:tcBorders>
              <w:bottom w:val="single" w:sz="8" w:color="CCEEFF"/>
            </w:tcBorders>
            <w:gridSpan w:val="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Use of Proceeds</w:t>
              </w:r>
            </w:hyperlink>
          </w:p>
        </w:tc>
        <w:tc>
          <w:tcPr>
            <w:tcW w:w="910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Selling Shareholder</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Share Capital</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Description of Warrants</w:t>
              </w:r>
            </w:hyperlink>
          </w:p>
        </w:tc>
        <w:tc>
          <w:tcPr>
            <w:tcW w:w="8540" w:type="dxa"/>
            <w:vAlign w:val="bottom"/>
            <w:tcBorders>
              <w:bottom w:val="single" w:sz="8" w:color="CCEEFF"/>
            </w:tcBorders>
            <w:gridSpan w:val="1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Units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Plan of Distribution</w:t>
              </w:r>
            </w:hyperlink>
          </w:p>
        </w:tc>
        <w:tc>
          <w:tcPr>
            <w:tcW w:w="8840" w:type="dxa"/>
            <w:vAlign w:val="bottom"/>
            <w:tcBorders>
              <w:bottom w:val="single" w:sz="8" w:color="CCEEFF"/>
            </w:tcBorders>
            <w:gridSpan w:val="1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2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2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Disclosure of Commission Position on Indemnification for Securities Act Liabilities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5861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8995" cy="5861685"/>
                    </a:xfrm>
                    <a:prstGeom prst="rect">
                      <a:avLst/>
                    </a:prstGeom>
                    <a:noFill/>
                  </pic:spPr>
                </pic:pic>
              </a:graphicData>
            </a:graphic>
          </wp:anchor>
        </w:drawing>
        <w:t>ABOUT THIS PROSPECTUS SUPPLEMENT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December 11, 2018, including the documents incorporated by reference therein, provides more general information about us and our securities.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accompanying prospectus), the statement in the document having the later date modifies or supersedes the earlier statement.</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Neither we nor the underwriters have authorized anyone to provide you with information different from that contained or incorporated by reference in this prospectus supplement, the accompanying prospectus or in any free writing prospectus prepared by us or on our behalf that we have authorized for use in connection with this offering. We do not take any responsibility for, nor can we provide any assurance as to the reliability of, any information other than the information contained or incorporated by reference in this prospectus supplement, the accompanying prospectus or any free writing prospectus prepared by us or on our behalf that we have authorized for use in connection with this offering.</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 should assume that the information contained or incorporated by reference in this prospectus supplement, the accompanying prospectus or in any free writing prospectus prepared by us or on our behalf that we have authorized for use in connection with this offering is accurate only as of the date of those respective documents. Our business, financial condition, liquidity, results of operations and prospects may have changed since those dates. You should read this prospectus supplement, the accompanying prospectus, and any free writing prospectus prepared by or on behalf of us that we have authorized for use in connection with this offering, together with the information we incorporate by reference herein and therein, including the additional information described in the sections of this prospectus supplement and the accompanying prospectus entitled “Where You Can Find More Information” and “Incorporation by Reference,” before making an investment decision.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investors outside of the United States, we have not done anything that would permit the offering, possession or distribution of this prospectus supplement or the accompanying prospectus in any jurisdiction where action for that purpose is required, other than in the United States. You are required to inform yourself about and to observe any restrictions relating to the offering, possession or the distribution of this prospectus supplement outside of the United States.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18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where the context requires otherwise, references in this prospectus supplement to “OptimizeRx,” “the Company,” “we,” “us” and “our” refer to OptimizeRx Corporation, a Nevada corporation, together with its subsidiaries.</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3940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8995" cy="3940175"/>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This prospectus supplement, the accompanying prospectus and the documents incorporated by reference herein or therein contain forward-looking statements within the meaning of Section 27A of the Securities Act of 1933, as amended, or the Securities Act, and Section 21E of the Securities Exchange Act of 1934, as amended, or the Exchange Act. Such statements contained in this prospectus supplement, the accompanying prospectus and the documents incorporated by reference herein or therein are based upon current expectations that involve risks and uncertainties. Any statements contained in this prospectus supplement, the accompanying prospectus and the documents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the impact of our recent acquisition of CareSpeak Communications and </w:t>
      </w:r>
      <w:r>
        <w:rPr>
          <w:rFonts w:ascii="Arial" w:cs="Arial" w:eastAsia="Arial" w:hAnsi="Arial"/>
          <w:sz w:val="16"/>
          <w:szCs w:val="16"/>
          <w:color w:val="auto"/>
          <w:highlight w:val="white"/>
        </w:rPr>
        <w:t>our ability to realize the full benefits and synergies anticipated from the CareSpeak acquisition</w:t>
      </w:r>
      <w:r>
        <w:rPr>
          <w:rFonts w:ascii="Arial" w:cs="Arial" w:eastAsia="Arial" w:hAnsi="Arial"/>
          <w:sz w:val="16"/>
          <w:szCs w:val="16"/>
          <w:color w:val="auto"/>
        </w:rPr>
        <w:t xml:space="preserve"> </w:t>
      </w:r>
      <w:r>
        <w:rPr>
          <w:rFonts w:ascii="Arial" w:cs="Arial" w:eastAsia="Arial" w:hAnsi="Arial"/>
          <w:sz w:val="16"/>
          <w:szCs w:val="16"/>
          <w:color w:val="auto"/>
          <w:highlight w:val="white"/>
        </w:rPr>
        <w:t>because of integration and other challenges</w:t>
      </w:r>
      <w:r>
        <w:rPr>
          <w:rFonts w:ascii="Arial" w:cs="Arial" w:eastAsia="Arial" w:hAnsi="Arial"/>
          <w:sz w:val="16"/>
          <w:szCs w:val="16"/>
          <w:color w:val="auto"/>
        </w:rPr>
        <w:t>; competition within the industries in which we operate; the timing, cost and success or failure of new product</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and service introductions and developments; our ability to attract and retain qualified personnel; maintaining our intellectual property rights and litigation involving intellectual property rights; our ability to operate without infringing the intellectual property rights of others; legislative, regulatory and economic developments; </w:t>
      </w:r>
      <w:r>
        <w:rPr>
          <w:rFonts w:ascii="Arial" w:cs="Arial" w:eastAsia="Arial" w:hAnsi="Arial"/>
          <w:sz w:val="16"/>
          <w:szCs w:val="16"/>
          <w:color w:val="auto"/>
          <w:highlight w:val="white"/>
        </w:rPr>
        <w:t>general economic, market or business conditions unrelated to our operating performance; our ability to raise funds in the future</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through sales of securities or debt financing in order to sustain our operations if an unexpected or unusual event would occur; </w:t>
      </w:r>
      <w:r>
        <w:rPr>
          <w:rFonts w:ascii="Arial" w:cs="Arial" w:eastAsia="Arial" w:hAnsi="Arial"/>
          <w:sz w:val="16"/>
          <w:szCs w:val="16"/>
          <w:color w:val="auto"/>
        </w:rPr>
        <w:t>the incurrence by us of any</w:t>
      </w:r>
      <w:r>
        <w:rPr>
          <w:rFonts w:ascii="Arial" w:cs="Arial" w:eastAsia="Arial" w:hAnsi="Arial"/>
          <w:sz w:val="16"/>
          <w:szCs w:val="16"/>
          <w:color w:val="auto"/>
          <w:highlight w:val="white"/>
        </w:rPr>
        <w:t xml:space="preserve"> </w:t>
      </w:r>
      <w:r>
        <w:rPr>
          <w:rFonts w:ascii="Arial" w:cs="Arial" w:eastAsia="Arial" w:hAnsi="Arial"/>
          <w:sz w:val="16"/>
          <w:szCs w:val="16"/>
          <w:color w:val="auto"/>
        </w:rPr>
        <w:t>unanticipated or unusual non-operating expenses which would require us to divert our cash resources from achieving our business plan; and those factors discussed in the “Risk Factors” section, in addition to the other information set forth in this prospectus supplement, the accompanying prospectus and the documents incorporated by reference herein or therein We claim the protection of the safe harbor for forward-looking statements contained in the Private Securities Litigation Reform Act of 1995 for all forward-looking statements. All forward-looking statements contained in this prospectus supplement, the accompanying prospectus and the documents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supplement and the accompanying prospectus, our Annual Report on Form 10-K for the year ended December 31, 2018 and in our other filings with the SEC. You should carefully consider the risks described in the “Risk Factors” section, in addition to the other information set forth in this prospectus supplement, the accompanying prospectus and the documents incorporated by reference herein or therein, before making an investment decision.</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3665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8995" cy="3665855"/>
                    </a:xfrm>
                    <a:prstGeom prst="rect">
                      <a:avLst/>
                    </a:prstGeom>
                    <a:noFill/>
                  </pic:spPr>
                </pic:pic>
              </a:graphicData>
            </a:graphic>
          </wp:anchor>
        </w:drawing>
        <w:t>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in other parts of this prospectus supplement the accompanying prospectus and the documents incorporated by reference herein or therein.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Investing in our securities involves risks that are described in this prospectus supplement under the heading “Risk Factors,” under the heading “Item 1A. Risk Factors” in our Annual Report on Form 10-K for the year ended December 31, 2018 and under similar headings in our other filings with the SEC.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or EHRs, providing a direct channel for pharmaceutical companies to communicate with healthcare providers and patients. Our cloud-based solution supports patient adherence to medications by providing real-time access to financial assistance and critical clinical information. Our network is comprised of leading EHR platforms and provides more than half a million healthcare providers access to these benefits within their workflow at the point of care.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were incorporated under the laws of the State of Nevada on September 4, 2008. Our principal executive offices are located at 400 Water Street, Suite 200 Rochester, MI 48307. Our telephone number at this address is (248) 651-6568.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140" w:type="dxa"/>
            <w:vAlign w:val="bottom"/>
            <w:gridSpan w:val="2"/>
          </w:tcPr>
          <w:p>
            <w:pPr>
              <w:ind w:left="480"/>
              <w:spacing w:after="0"/>
              <w:rPr>
                <w:sz w:val="20"/>
                <w:szCs w:val="20"/>
                <w:color w:val="auto"/>
              </w:rPr>
            </w:pPr>
            <w:r>
              <w:rPr>
                <w:rFonts w:ascii="Arial" w:cs="Arial" w:eastAsia="Arial" w:hAnsi="Arial"/>
                <w:sz w:val="18"/>
                <w:szCs w:val="18"/>
                <w:b w:val="1"/>
                <w:bCs w:val="1"/>
                <w:color w:val="auto"/>
              </w:rPr>
              <w:t>THE OFFERING</w:t>
            </w:r>
          </w:p>
        </w:tc>
        <w:tc>
          <w:tcPr>
            <w:tcW w:w="3600" w:type="dxa"/>
            <w:vAlign w:val="bottom"/>
          </w:tcPr>
          <w:p>
            <w:pPr>
              <w:spacing w:after="0"/>
              <w:rPr>
                <w:sz w:val="20"/>
                <w:szCs w:val="20"/>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440" w:type="dxa"/>
            <w:vAlign w:val="bottom"/>
          </w:tcPr>
          <w:p>
            <w:pPr>
              <w:ind w:left="540"/>
              <w:spacing w:after="0"/>
              <w:rPr>
                <w:sz w:val="20"/>
                <w:szCs w:val="20"/>
                <w:color w:val="auto"/>
              </w:rPr>
            </w:pPr>
            <w:r>
              <w:rPr>
                <w:rFonts w:ascii="Arial" w:cs="Arial" w:eastAsia="Arial" w:hAnsi="Arial"/>
                <w:sz w:val="18"/>
                <w:szCs w:val="18"/>
                <w:color w:val="auto"/>
              </w:rPr>
              <w:t>shares</w:t>
            </w:r>
          </w:p>
        </w:tc>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8"/>
        </w:trPr>
        <w:tc>
          <w:tcPr>
            <w:tcW w:w="4440" w:type="dxa"/>
            <w:vAlign w:val="bottom"/>
          </w:tcPr>
          <w:p>
            <w:pPr>
              <w:spacing w:after="0"/>
              <w:rPr>
                <w:sz w:val="20"/>
                <w:szCs w:val="20"/>
                <w:color w:val="auto"/>
              </w:rPr>
            </w:pPr>
            <w:r>
              <w:rPr>
                <w:rFonts w:ascii="Arial" w:cs="Arial" w:eastAsia="Arial" w:hAnsi="Arial"/>
                <w:sz w:val="18"/>
                <w:szCs w:val="18"/>
                <w:color w:val="auto"/>
                <w:w w:val="99"/>
              </w:rPr>
              <w:t>Option to purchase additional shares from the Company</w:t>
            </w:r>
          </w:p>
        </w:tc>
        <w:tc>
          <w:tcPr>
            <w:tcW w:w="6740" w:type="dxa"/>
            <w:vAlign w:val="bottom"/>
            <w:gridSpan w:val="3"/>
          </w:tcPr>
          <w:p>
            <w:pPr>
              <w:ind w:left="60"/>
              <w:spacing w:after="0"/>
              <w:rPr>
                <w:sz w:val="20"/>
                <w:szCs w:val="20"/>
                <w:color w:val="auto"/>
              </w:rPr>
            </w:pPr>
            <w:r>
              <w:rPr>
                <w:rFonts w:ascii="Arial" w:cs="Arial" w:eastAsia="Arial" w:hAnsi="Arial"/>
                <w:sz w:val="18"/>
                <w:szCs w:val="18"/>
                <w:color w:val="auto"/>
                <w:w w:val="95"/>
              </w:rPr>
              <w:t>We have granted the underwriters an option for a period of 30 days from the date of this</w:t>
            </w:r>
          </w:p>
        </w:tc>
      </w:tr>
      <w:tr>
        <w:trPr>
          <w:trHeight w:val="230"/>
        </w:trPr>
        <w:tc>
          <w:tcPr>
            <w:tcW w:w="4440" w:type="dxa"/>
            <w:vAlign w:val="bottom"/>
          </w:tcPr>
          <w:p>
            <w:pPr>
              <w:spacing w:after="0"/>
              <w:rPr>
                <w:sz w:val="20"/>
                <w:szCs w:val="20"/>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w w:val="92"/>
              </w:rPr>
              <w:t>prospectus supplement to purchase up to</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w w:val="96"/>
              </w:rPr>
              <w:t>additional shares of our common stock.</w:t>
            </w:r>
          </w:p>
        </w:tc>
      </w:tr>
      <w:tr>
        <w:trPr>
          <w:trHeight w:val="418"/>
        </w:trPr>
        <w:tc>
          <w:tcPr>
            <w:tcW w:w="4440" w:type="dxa"/>
            <w:vAlign w:val="bottom"/>
          </w:tcPr>
          <w:p>
            <w:pPr>
              <w:spacing w:after="0"/>
              <w:rPr>
                <w:sz w:val="20"/>
                <w:szCs w:val="20"/>
                <w:color w:val="auto"/>
              </w:rPr>
            </w:pPr>
            <w:r>
              <w:rPr>
                <w:rFonts w:ascii="Arial" w:cs="Arial" w:eastAsia="Arial" w:hAnsi="Arial"/>
                <w:sz w:val="18"/>
                <w:szCs w:val="18"/>
                <w:color w:val="auto"/>
                <w:w w:val="92"/>
              </w:rPr>
              <w:t>Total common stock to be outstanding immediately after this</w:t>
            </w:r>
          </w:p>
        </w:tc>
        <w:tc>
          <w:tcPr>
            <w:tcW w:w="1440" w:type="dxa"/>
            <w:vAlign w:val="bottom"/>
          </w:tcPr>
          <w:p>
            <w:pPr>
              <w:ind w:left="600"/>
              <w:spacing w:after="0"/>
              <w:rPr>
                <w:sz w:val="20"/>
                <w:szCs w:val="20"/>
                <w:color w:val="auto"/>
              </w:rPr>
            </w:pPr>
            <w:r>
              <w:rPr>
                <w:rFonts w:ascii="Arial" w:cs="Arial" w:eastAsia="Arial" w:hAnsi="Arial"/>
                <w:sz w:val="18"/>
                <w:szCs w:val="18"/>
                <w:color w:val="auto"/>
              </w:rPr>
              <w:t>shares, or</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w w:val="96"/>
              </w:rPr>
              <w:t>shares if the underwriters exercise their option to purchase additional</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offering</w:t>
            </w: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shares from the Company in full.</w:t>
            </w:r>
          </w:p>
        </w:tc>
        <w:tc>
          <w:tcPr>
            <w:tcW w:w="3600" w:type="dxa"/>
            <w:vAlign w:val="bottom"/>
          </w:tcPr>
          <w:p>
            <w:pPr>
              <w:spacing w:after="0"/>
              <w:rPr>
                <w:sz w:val="20"/>
                <w:szCs w:val="20"/>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Use of proceeds</w:t>
            </w:r>
          </w:p>
        </w:tc>
        <w:tc>
          <w:tcPr>
            <w:tcW w:w="1440" w:type="dxa"/>
            <w:vAlign w:val="bottom"/>
          </w:tcPr>
          <w:p>
            <w:pPr>
              <w:ind w:left="60"/>
              <w:spacing w:after="0"/>
              <w:rPr>
                <w:sz w:val="20"/>
                <w:szCs w:val="20"/>
                <w:color w:val="auto"/>
              </w:rPr>
            </w:pPr>
            <w:r>
              <w:rPr>
                <w:rFonts w:ascii="Arial" w:cs="Arial" w:eastAsia="Arial" w:hAnsi="Arial"/>
                <w:sz w:val="18"/>
                <w:szCs w:val="18"/>
                <w:color w:val="auto"/>
              </w:rPr>
              <w:t>We estimate that</w:t>
            </w:r>
          </w:p>
        </w:tc>
        <w:tc>
          <w:tcPr>
            <w:tcW w:w="1700" w:type="dxa"/>
            <w:vAlign w:val="bottom"/>
          </w:tcPr>
          <w:p>
            <w:pPr>
              <w:ind w:left="60"/>
              <w:spacing w:after="0"/>
              <w:rPr>
                <w:sz w:val="20"/>
                <w:szCs w:val="20"/>
                <w:color w:val="auto"/>
              </w:rPr>
            </w:pPr>
            <w:r>
              <w:rPr>
                <w:rFonts w:ascii="Arial" w:cs="Arial" w:eastAsia="Arial" w:hAnsi="Arial"/>
                <w:sz w:val="18"/>
                <w:szCs w:val="18"/>
                <w:color w:val="auto"/>
              </w:rPr>
              <w:t>the net proceeds to</w:t>
            </w:r>
          </w:p>
        </w:tc>
        <w:tc>
          <w:tcPr>
            <w:tcW w:w="3600" w:type="dxa"/>
            <w:vAlign w:val="bottom"/>
          </w:tcPr>
          <w:p>
            <w:pPr>
              <w:jc w:val="right"/>
              <w:spacing w:after="0"/>
              <w:rPr>
                <w:sz w:val="20"/>
                <w:szCs w:val="20"/>
                <w:color w:val="auto"/>
              </w:rPr>
            </w:pPr>
            <w:r>
              <w:rPr>
                <w:rFonts w:ascii="Arial" w:cs="Arial" w:eastAsia="Arial" w:hAnsi="Arial"/>
                <w:sz w:val="18"/>
                <w:szCs w:val="18"/>
                <w:color w:val="auto"/>
              </w:rPr>
              <w:t>us from this offering will be approximately</w:t>
            </w:r>
          </w:p>
        </w:tc>
      </w:tr>
    </w:tbl>
    <w:p>
      <w:pPr>
        <w:jc w:val="both"/>
        <w:ind w:left="4500" w:right="20" w:hanging="7"/>
        <w:spacing w:after="0" w:line="253" w:lineRule="auto"/>
        <w:tabs>
          <w:tab w:leader="none" w:pos="5258"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160020</wp:posOffset>
            </wp:positionH>
            <wp:positionV relativeFrom="page">
              <wp:posOffset>451485</wp:posOffset>
            </wp:positionV>
            <wp:extent cx="7198995" cy="5209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5209540"/>
                    </a:xfrm>
                    <a:prstGeom prst="rect">
                      <a:avLst/>
                    </a:prstGeom>
                    <a:noFill/>
                  </pic:spPr>
                </pic:pic>
              </a:graphicData>
            </a:graphic>
          </wp:anchor>
        </w:drawing>
        <w:t>million, or $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ectPr>
          <w:pgSz w:w="11900" w:h="16838" w:orient="portrait"/>
          <w:cols w:equalWidth="0" w:num="1">
            <w:col w:w="11200"/>
          </w:cols>
          <w:pgMar w:left="320" w:top="985" w:right="37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read the “Risk Factors” section of this prospectus supplement beginning on page S-5 and the documents referred to therein for a discussion of factors to consider carefully before deciding to invest in shares of our common stock.</w:t>
      </w:r>
    </w:p>
    <w:p>
      <w:pPr>
        <w:spacing w:after="0" w:line="181" w:lineRule="exact"/>
        <w:rPr>
          <w:sz w:val="20"/>
          <w:szCs w:val="20"/>
          <w:color w:val="auto"/>
        </w:rPr>
      </w:pPr>
    </w:p>
    <w:p>
      <w:pPr>
        <w:sectPr>
          <w:pgSz w:w="11900" w:h="16838" w:orient="portrait"/>
          <w:cols w:equalWidth="0" w:num="2">
            <w:col w:w="3780" w:space="720"/>
            <w:col w:w="6700"/>
          </w:cols>
          <w:pgMar w:left="320" w:top="985" w:right="379" w:bottom="1440"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OPRX</w:t>
      </w:r>
    </w:p>
    <w:p>
      <w:pPr>
        <w:spacing w:after="0" w:line="200" w:lineRule="exact"/>
        <w:rPr>
          <w:sz w:val="20"/>
          <w:szCs w:val="20"/>
          <w:color w:val="auto"/>
        </w:rPr>
      </w:pPr>
    </w:p>
    <w:p>
      <w:pPr>
        <w:sectPr>
          <w:pgSz w:w="11900" w:h="16838" w:orient="portrait"/>
          <w:cols w:equalWidth="0" w:num="2">
            <w:col w:w="3780" w:space="720"/>
            <w:col w:w="6700"/>
          </w:cols>
          <w:pgMar w:left="320" w:top="985" w:right="379" w:bottom="1440" w:gutter="0" w:footer="0" w:header="0"/>
          <w:type w:val="continuous"/>
        </w:sectPr>
      </w:pPr>
    </w:p>
    <w:p>
      <w:pPr>
        <w:spacing w:after="0" w:line="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12,278,833 shares of our common stock outstanding as of March 31, 2019 and excludes:</w:t>
      </w:r>
    </w:p>
    <w:p>
      <w:pPr>
        <w:spacing w:after="0" w:line="170" w:lineRule="exact"/>
        <w:rPr>
          <w:sz w:val="20"/>
          <w:szCs w:val="20"/>
          <w:color w:val="auto"/>
        </w:rPr>
      </w:pPr>
    </w:p>
    <w:p>
      <w:pPr>
        <w:ind w:left="1040" w:hanging="38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471,341 shares of common stock reserved for future issuance under our 2013 Equity Incentive Plan, or the 2013 Plan, as of March 31, 2019;</w:t>
      </w:r>
    </w:p>
    <w:p>
      <w:pPr>
        <w:spacing w:after="0" w:line="275" w:lineRule="exact"/>
        <w:rPr>
          <w:rFonts w:ascii="Arial" w:cs="Arial" w:eastAsia="Arial" w:hAnsi="Arial"/>
          <w:sz w:val="16"/>
          <w:szCs w:val="16"/>
          <w:color w:val="auto"/>
        </w:rPr>
      </w:pPr>
    </w:p>
    <w:p>
      <w:pPr>
        <w:ind w:left="1040" w:right="20" w:hanging="38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1,552,257 shares of common stock issuable upon the exercise of stock options outstanding as of March 31, 2019 under the 2013 Plan at a weighted average exercise price of $5.26; and</w:t>
      </w:r>
    </w:p>
    <w:p>
      <w:pPr>
        <w:spacing w:after="0" w:line="197" w:lineRule="exact"/>
        <w:rPr>
          <w:rFonts w:ascii="Arial" w:cs="Arial" w:eastAsia="Arial" w:hAnsi="Arial"/>
          <w:sz w:val="18"/>
          <w:szCs w:val="18"/>
          <w:color w:val="auto"/>
        </w:rPr>
      </w:pPr>
    </w:p>
    <w:p>
      <w:pPr>
        <w:ind w:left="1040" w:hanging="38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50,000 shares of common stock issuable upon the vesting of restricted stock units outstanding as of March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indicated, all information in this prospectus supplement assumes no exercise by the underwriters of their option to purchase</w:t>
      </w:r>
    </w:p>
    <w:p>
      <w:pPr>
        <w:spacing w:after="0" w:line="4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up to an additional</w:t>
      </w:r>
      <w:r>
        <w:rPr>
          <w:sz w:val="20"/>
          <w:szCs w:val="20"/>
          <w:color w:val="auto"/>
        </w:rPr>
        <w:tab/>
      </w:r>
      <w:r>
        <w:rPr>
          <w:rFonts w:ascii="Arial" w:cs="Arial" w:eastAsia="Arial" w:hAnsi="Arial"/>
          <w:sz w:val="16"/>
          <w:szCs w:val="16"/>
          <w:color w:val="auto"/>
        </w:rPr>
        <w:t>shares of our common stock from us and no exercise of the outstanding options described above.</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Investing in our common stock involves risks. You should carefully consider the risks and uncertainties described in our Annual Report on Form 10-K for the fiscal year ended December 31, 2018, which is incorporated by reference into this prospectus supplement, as revised or supplemented by our filings with the SEC since the filing of our most recent Annual Report on Form 10-K, and which may be amended, supplemented or superseded from time to time by other reports we file with the SEC in the future. You should also carefully consider the other information contained or incorporated by reference in this prospectus supplement, in the accompanying prospectus and in any free writing prospectus that we may authorize for use in connection with this offering before acquiring any shares of our common stock. These risks could materially affect our business, results of operations or financial condition and cause the value of our common stock to decline. In addition, the risks and uncertainties we have described are not the only ones facing our company. Additional risks and uncertainties not presently known to us or that we currently deem immaterial may also affect our business operations, and you could lose all or part of your investment. Please also read carefully the section entitled “Cautionary Statement Regarding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operations or to achieve expected growth from our recent acquisition of CareSpeak Communications.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principal benefits expected to result from our acquisition of CareSpeak Communications, Inc., or CareSpeak, will not be achieved fully unless we are able to successfully integrate the operations of CareSpeak with our current business operations and realize the anticipated synergies, cost savings and growth opportunities from such integration. Challenges we may face in this regard include, but are not limited to: (i) estimating the capital, personnel and equipment required for proper integration; (ii) minimizing potential adverse effects on existing business relationships; and (iii) successfully developing and marketing CareSpeak’s products and services. Any difficulties we may experience in connection with the integration of CareSpeak could delay or prevent us from realizing such expected benefits and enhancing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will have broad discretion as to the use of the Company’s proceeds from this offering, and we may not use the proceeds effectively.</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will have broad discretion in the application of our net proceeds from this offering and could spend the proceeds in ways that do not improve our results of operations or enhance the value of our common stock. Our failure to apply these funds effectively could have a material adverse effect on our business, delay the growth of our business, or cause the price of our common stock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Purchasers of common stock in this offering will experience immediate and substantial dilution in the book value of their investment. You may experience further dilution upon exercise of our outstanding options and warrants.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public offering price per share of common stock in this offering is substantially higher than the net tangible book value per share of our common stock before giving effect to this offering. Accordingly, if you purchase common stock in this offering, you will incur immediate substantial dilution of</w:t>
      </w:r>
    </w:p>
    <w:p>
      <w:pPr>
        <w:jc w:val="both"/>
        <w:spacing w:after="0" w:line="277" w:lineRule="auto"/>
        <w:rPr>
          <w:sz w:val="20"/>
          <w:szCs w:val="20"/>
          <w:color w:val="auto"/>
        </w:rPr>
      </w:pPr>
      <w:r>
        <w:rPr>
          <w:rFonts w:ascii="Arial" w:cs="Arial" w:eastAsia="Arial" w:hAnsi="Arial"/>
          <w:sz w:val="17"/>
          <w:szCs w:val="17"/>
          <w:color w:val="auto"/>
        </w:rPr>
        <w:t>approximately $ per share, representing the difference between the public offering price per share of common stock and our pro forma as adjusted net tangible book value as of March 31, 2019. In addition, if our outstanding stock options are exercised, you could experience further dilution. For a further description of the dilution that you will experience immediately after this offering, see the section in this prospectus supplement entitled “Dilution.”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securities in any other offering at a price per share that is equal to or greater than the price per share paid by investors in this offering, and investors purchasing shares of our common stock or other securities in the future could have rights superior to existing shareholders, including investors who purchase shares of common stock in this offering. The price per share at which we sell additional shares of our common stock or securities convertible into common stock in future transactions may be higher or lower than the price per share in this offering.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we currently do not have any immediate arrangements, commitments or understandings regarding any future acquisitions, as part of our strategy for growth, we may continue to explore acquisitions or strategic alliances, which may not be completed or may not be ultimately beneficial to us. Acquisitions may pose risks to our operations, including:</w:t>
      </w:r>
    </w:p>
    <w:p>
      <w:pPr>
        <w:spacing w:after="0" w:line="181"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and increased costs in connection with the integration of the personnel, operations, technologies, or products of the acquired businesses;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acquired assets becoming impaired as a result of technical advancements or worse-than-expected performance by the acquired company;</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adversely affecting our internal control over financial reporting before the acquiree’s complete integration into our control environment.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failure to successfully integrate any acquisitions in an efficient or timely manner may negatively impact our financial condition and operating results, or we may not be able to fully realize anticipated savings. In addition, our competitors could try to emulate our acquisition strategy, leading to greater competition for scarce acquisition targets and could lead to larger competitors if they succeed in emulating our strategy.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that the net proceeds to us from this offering, after deducting estimated underwriting discounts and commissions and estimated offering</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expenses payable by us, will be approximately $ million, or $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this prospectus supplement, we cannot specify with certainty all of the particular uses for the net proceeds to us from this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management will have broad discretion in the timing and application of these proceeds.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Pending use of the proceeds from this offering as described above, we intend to invest the net proceeds of this offering in money market funds, certificates of deposit and corporate debt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invest in our common stock, your interest will be diluted immediately to the extent of the difference between the public offering price per share of our common stock and the as adjusted net tangible book value per share of common stock after this offering.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net tangible book value of our common stock as of March 31, 2019 was approximately $10.7 million, or approximately $0.87 per share. Net tangible book value per share represents the amount of our total tangible assets less total liabilities divided by the total number of shares of our common stock outstanding.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Dilution per share to new investors represents the difference between the amount per share paid by purchasers for our common stock in this offering and the net tangible book value per share of our common stock immediately following the completion of this offering.</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After giving effect to the sale of shares of common stock offered by this prospectus supplement at a public offering price of $ per share, and after deducting commissions and estimated aggregate offering expenses payable by us, our as adjusted net tangible book value as of March 31, 2019 would</w:t>
      </w:r>
    </w:p>
    <w:tbl>
      <w:tblPr>
        <w:tblLayout w:type="fixed"/>
        <w:tblInd w:w="0" w:type="dxa"/>
        <w:tblCellMar>
          <w:top w:w="0" w:type="dxa"/>
          <w:left w:w="0" w:type="dxa"/>
          <w:bottom w:w="0" w:type="dxa"/>
          <w:right w:w="0" w:type="dxa"/>
        </w:tblCellMar>
      </w:tblPr>
      <w:tr>
        <w:trPr>
          <w:trHeight w:val="202"/>
        </w:trPr>
        <w:tc>
          <w:tcPr>
            <w:tcW w:w="2460" w:type="dxa"/>
            <w:vAlign w:val="bottom"/>
            <w:gridSpan w:val="3"/>
          </w:tcPr>
          <w:p>
            <w:pPr>
              <w:spacing w:after="0" w:line="202" w:lineRule="exact"/>
              <w:rPr>
                <w:sz w:val="20"/>
                <w:szCs w:val="20"/>
                <w:color w:val="auto"/>
              </w:rPr>
            </w:pPr>
            <w:r>
              <w:rPr>
                <w:rFonts w:ascii="Arial" w:cs="Arial" w:eastAsia="Arial" w:hAnsi="Arial"/>
                <w:sz w:val="18"/>
                <w:szCs w:val="18"/>
                <w:color w:val="auto"/>
              </w:rPr>
              <w:t>have been approximately $</w:t>
            </w:r>
          </w:p>
        </w:tc>
        <w:tc>
          <w:tcPr>
            <w:tcW w:w="2680" w:type="dxa"/>
            <w:vAlign w:val="bottom"/>
          </w:tcPr>
          <w:p>
            <w:pPr>
              <w:ind w:left="280"/>
              <w:spacing w:after="0" w:line="202" w:lineRule="exact"/>
              <w:rPr>
                <w:sz w:val="20"/>
                <w:szCs w:val="20"/>
                <w:color w:val="auto"/>
              </w:rPr>
            </w:pPr>
            <w:r>
              <w:rPr>
                <w:rFonts w:ascii="Arial" w:cs="Arial" w:eastAsia="Arial" w:hAnsi="Arial"/>
                <w:sz w:val="18"/>
                <w:szCs w:val="18"/>
                <w:color w:val="auto"/>
              </w:rPr>
              <w:t>million, or approximately $</w:t>
            </w:r>
          </w:p>
        </w:tc>
        <w:tc>
          <w:tcPr>
            <w:tcW w:w="6280" w:type="dxa"/>
            <w:vAlign w:val="bottom"/>
            <w:gridSpan w:val="8"/>
          </w:tcPr>
          <w:p>
            <w:pPr>
              <w:jc w:val="right"/>
              <w:ind w:right="20"/>
              <w:spacing w:after="0" w:line="202" w:lineRule="exact"/>
              <w:rPr>
                <w:sz w:val="20"/>
                <w:szCs w:val="20"/>
                <w:color w:val="auto"/>
              </w:rPr>
            </w:pPr>
            <w:r>
              <w:rPr>
                <w:rFonts w:ascii="Arial" w:cs="Arial" w:eastAsia="Arial" w:hAnsi="Arial"/>
                <w:sz w:val="18"/>
                <w:szCs w:val="18"/>
                <w:color w:val="auto"/>
                <w:w w:val="99"/>
              </w:rPr>
              <w:t>per share. This represents an immediate increase in net tangible book value of</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9460" w:type="dxa"/>
            <w:vAlign w:val="bottom"/>
            <w:gridSpan w:val="8"/>
          </w:tcPr>
          <w:p>
            <w:pPr>
              <w:jc w:val="right"/>
              <w:ind w:right="280"/>
              <w:spacing w:after="0"/>
              <w:rPr>
                <w:sz w:val="20"/>
                <w:szCs w:val="20"/>
                <w:color w:val="auto"/>
              </w:rPr>
            </w:pPr>
            <w:r>
              <w:rPr>
                <w:rFonts w:ascii="Arial" w:cs="Arial" w:eastAsia="Arial" w:hAnsi="Arial"/>
                <w:sz w:val="18"/>
                <w:szCs w:val="18"/>
                <w:color w:val="auto"/>
                <w:w w:val="94"/>
              </w:rPr>
              <w:t>per share to our existing stockholders and an immediate dilution in as adjusted net tangible book value of approximately $</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30"/>
        </w:trPr>
        <w:tc>
          <w:tcPr>
            <w:tcW w:w="8640" w:type="dxa"/>
            <w:vAlign w:val="bottom"/>
            <w:gridSpan w:val="5"/>
          </w:tcPr>
          <w:p>
            <w:pPr>
              <w:spacing w:after="0"/>
              <w:rPr>
                <w:sz w:val="20"/>
                <w:szCs w:val="20"/>
                <w:color w:val="auto"/>
              </w:rPr>
            </w:pPr>
            <w:r>
              <w:rPr>
                <w:rFonts w:ascii="Arial" w:cs="Arial" w:eastAsia="Arial" w:hAnsi="Arial"/>
                <w:sz w:val="18"/>
                <w:szCs w:val="18"/>
                <w:color w:val="auto"/>
              </w:rPr>
              <w:t>share to purchasers of our common stock in this offering, as illustrated by the following table:</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6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ind w:left="160"/>
              <w:spacing w:after="0"/>
              <w:rPr>
                <w:sz w:val="20"/>
                <w:szCs w:val="20"/>
                <w:color w:val="auto"/>
              </w:rPr>
            </w:pPr>
            <w:r>
              <w:rPr>
                <w:rFonts w:ascii="Arial" w:cs="Arial" w:eastAsia="Arial" w:hAnsi="Arial"/>
                <w:sz w:val="18"/>
                <w:szCs w:val="18"/>
                <w:color w:val="auto"/>
              </w:rPr>
              <w:t>Net tangible book value per share as of March 31, 2019</w:t>
            </w:r>
          </w:p>
        </w:tc>
        <w:tc>
          <w:tcPr>
            <w:tcW w:w="35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0.87</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2"/>
              </w:rPr>
              <w:t>Increase in net tangible book value per share attributable to investors purchasing our common stock in this offering</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20" w:type="dxa"/>
            <w:vAlign w:val="bottom"/>
            <w:tcBorders>
              <w:top w:val="single" w:sz="8" w:color="CCEEFF"/>
            </w:tcBorders>
            <w:gridSpan w:val="4"/>
          </w:tcPr>
          <w:p>
            <w:pPr>
              <w:spacing w:after="0" w:line="189" w:lineRule="exact"/>
              <w:rPr>
                <w:sz w:val="20"/>
                <w:szCs w:val="20"/>
                <w:color w:val="auto"/>
              </w:rPr>
            </w:pPr>
            <w:r>
              <w:rPr>
                <w:rFonts w:ascii="Arial" w:cs="Arial" w:eastAsia="Arial" w:hAnsi="Arial"/>
                <w:sz w:val="18"/>
                <w:szCs w:val="18"/>
                <w:color w:val="auto"/>
              </w:rPr>
              <w:t>As adjusted net tangible book value per share as of March 31, 2019 after giving effect to this offering</w:t>
            </w:r>
          </w:p>
        </w:tc>
        <w:tc>
          <w:tcPr>
            <w:tcW w:w="18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940" w:type="dxa"/>
            <w:vAlign w:val="bottom"/>
            <w:tcBorders>
              <w:top w:val="single" w:sz="8" w:color="CCEEFF"/>
            </w:tcBorders>
            <w:gridSpan w:val="2"/>
          </w:tcPr>
          <w:p>
            <w:pPr>
              <w:jc w:val="right"/>
              <w:ind w:right="640"/>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Dilution per share to investors purchasing our common stock in this offering</w:t>
            </w: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62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the underwriters exercise in full their option to purchase additional shares of our common stock, our as adjusted net tangible book value as of March 31, 2019 would have been $ million, or $ per share. This represents an immediate increase in as adjusted net tangible book value per share of $ per share to existing stockholders, and an immediate dilution of $ per share to investors participating in this offering.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above is based on 12,278,833 shares of our common stock outstanding and issued as of March 31, 2019, which excludes 471,341 shares of common stock reserved for future issuance under our 2013 Plan, 1,552,257 shares of common stock issuable upon the exercise of stock options outstanding as of March 31, 2019 under the 2013 Plan at a weighted average exercise price of $5.26 and 50,000 shares of common stock issuable upon the vesting of restricted stock units outstanding as of March 31, 2019.</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table sets forth our capitalization as of March 31, 2019 on an actual basis and as adjusted to give effect to the sale of the common stock in this offering. The information set forth in the table below is only a summary and is qualified in its entirety by, and should be read in conjunction with, the consolidated financial statements, the notes thereto, and “Management’s Discussion and Analysis of Results of Operations and Financial Condition” in our Annual Report on Form 10-K for the fiscal year ended December 31, 2018 and our Quarterly Report on Form 10-Q for the period ending March 31, 2019, each of which is incorporated by reference in this prospectus supplement and the accompanying prospectus. See “Where You Can Find More Information” in this prospectus supplement.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ind w:left="500"/>
              <w:spacing w:after="0"/>
              <w:rPr>
                <w:sz w:val="20"/>
                <w:szCs w:val="20"/>
                <w:color w:val="auto"/>
              </w:rPr>
            </w:pPr>
            <w:r>
              <w:rPr>
                <w:rFonts w:ascii="Arial" w:cs="Arial" w:eastAsia="Arial" w:hAnsi="Arial"/>
                <w:sz w:val="18"/>
                <w:szCs w:val="18"/>
                <w:color w:val="auto"/>
              </w:rPr>
              <w:t>March 31, 2019</w:t>
            </w:r>
          </w:p>
        </w:tc>
      </w:tr>
      <w:tr>
        <w:trPr>
          <w:trHeight w:val="237"/>
        </w:trPr>
        <w:tc>
          <w:tcPr>
            <w:tcW w:w="9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Actual</w:t>
            </w:r>
          </w:p>
        </w:tc>
        <w:tc>
          <w:tcPr>
            <w:tcW w:w="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20"/>
                <w:szCs w:val="20"/>
                <w:color w:val="auto"/>
              </w:rPr>
            </w:pPr>
          </w:p>
        </w:tc>
      </w:tr>
      <w:tr>
        <w:trPr>
          <w:trHeight w:val="216"/>
        </w:trPr>
        <w:tc>
          <w:tcPr>
            <w:tcW w:w="8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10,133,940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Long-term debt, including current portion</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5,814,983</w:t>
            </w:r>
          </w:p>
        </w:tc>
        <w:tc>
          <w:tcPr>
            <w:tcW w:w="122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86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Preferred stock, $0.001 par value, 10,000,000 shares authorized, no shares issued and outstanding, actual and as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80" w:type="dxa"/>
            <w:vAlign w:val="bottom"/>
          </w:tcPr>
          <w:p>
            <w:pPr>
              <w:ind w:left="340"/>
              <w:spacing w:after="0"/>
              <w:rPr>
                <w:sz w:val="20"/>
                <w:szCs w:val="20"/>
                <w:color w:val="auto"/>
              </w:rPr>
            </w:pPr>
            <w:r>
              <w:rPr>
                <w:rFonts w:ascii="Arial" w:cs="Arial" w:eastAsia="Arial" w:hAnsi="Arial"/>
                <w:sz w:val="18"/>
                <w:szCs w:val="18"/>
                <w:color w:val="auto"/>
                <w:w w:val="91"/>
              </w:rPr>
              <w:t>adjusted</w:t>
            </w: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$0.001 par value, 500,000,000 shares authorized, 12,278,833 shares issued and outstanding, actual</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w:t>
            </w:r>
          </w:p>
        </w:tc>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issued and outstanding, as adjusted</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12,278,833</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Additional paid-in-capital</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49,705,102</w:t>
            </w:r>
          </w:p>
        </w:tc>
        <w:tc>
          <w:tcPr>
            <w:tcW w:w="122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(30,275,505)</w:t>
            </w:r>
          </w:p>
        </w:tc>
        <w:tc>
          <w:tcPr>
            <w:tcW w:w="122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19,441,876</w:t>
            </w:r>
          </w:p>
        </w:tc>
        <w:tc>
          <w:tcPr>
            <w:tcW w:w="122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25,256,859</w:t>
            </w:r>
          </w:p>
        </w:tc>
        <w:tc>
          <w:tcPr>
            <w:tcW w:w="122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excludes:</w:t>
      </w:r>
    </w:p>
    <w:p>
      <w:pPr>
        <w:spacing w:after="0" w:line="225" w:lineRule="exact"/>
        <w:rPr>
          <w:sz w:val="20"/>
          <w:szCs w:val="20"/>
          <w:color w:val="auto"/>
        </w:rPr>
      </w:pPr>
    </w:p>
    <w:p>
      <w:pPr>
        <w:ind w:left="1040" w:hanging="384"/>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471,341 shares of common stock reserved for future issuance under our 2013 Equity Incentive Plan, or the 2013 Plan, as of March 31, 2019;</w:t>
      </w:r>
    </w:p>
    <w:p>
      <w:pPr>
        <w:spacing w:after="0" w:line="248" w:lineRule="exact"/>
        <w:rPr>
          <w:rFonts w:ascii="Arial" w:cs="Arial" w:eastAsia="Arial" w:hAnsi="Arial"/>
          <w:sz w:val="16"/>
          <w:szCs w:val="16"/>
          <w:color w:val="auto"/>
        </w:rPr>
      </w:pPr>
    </w:p>
    <w:p>
      <w:pPr>
        <w:ind w:left="1040" w:right="20" w:hanging="384"/>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1,552,257 shares of common stock issuable upon the exercise of stock options outstanding as of March 31, 2019 under the 2013 Plan at a weighted average exercise price of $5.26;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50,000 shares of common stock issuable upon the vesting of restricted stock units outstanding as of March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amounts in the table above assume no exercise by the underwriters of their option to purchase additional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MATERIAL U.S. FEDERAL INCOME AND ESTATE TAX CONSEQUENCES TO NON-U.S. 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is a discussion of the material U.S. federal income and estate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47" w:lineRule="exact"/>
        <w:rPr>
          <w:sz w:val="20"/>
          <w:szCs w:val="20"/>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1040" w:right="20" w:hanging="384"/>
        <w:spacing w:after="0" w:line="30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other pass-through entities. The tax treatment of a partner in a partnership or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or the IRS, all as in effect as of the date hereof. These authorities are subject to change and to differing interpretations, possibly with retroactive effect, which could result in U.S. federal income or estate tax consequences different from those summarized below. No ruling has been or is expected to be sought from the IRS with respect to the matters summarized below, and there can be no assurance that the IRS will not take a contrary position regarding the U.S. federal income or estate tax consequences of the acquisition, ownership, or disposition of our common stock, or that any such contrary position would not be sustained by a court.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is not a complete analysis of all of the potential U.S. federal income and estate tax consequences relating to the acquisition, ownership, and disposition of our common stock by non-U.S. holders, nor does it address any U.S. federal gift or generation-skipping transfer tax consequences, any tax consequences arising under any state, local, or non-U.S. tax laws, the impact of any applicable tax treaty, any consequences under the Medicare contribution tax on net investment income, the alternative minimum tax, or any consequences under other U.S. federal tax laws. In addition, this discussion does not address tax consequences resulting from a non-U.S. holder’s particular circumstances or to non-U.S. holders that may be subject to special tax rules, including, without limitation:</w:t>
      </w:r>
    </w:p>
    <w:p>
      <w:pPr>
        <w:spacing w:after="0" w:line="193" w:lineRule="exact"/>
        <w:rPr>
          <w:sz w:val="20"/>
          <w:szCs w:val="20"/>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non-U.S. governments, agencies or instrumentalities thereof, or entities they control;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“controlled foreign corporations” and their shareholders;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“passive foreign investment companies” and their shareholders;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partnerships, grantor trusts or other entities that are treated as pass-through entities for U.S. federal income tax purposes, and their owners;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former citizens or former long-term residents of the United States;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pension funds or other tax-exempt organizations;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employee stock options or otherwise as compensation;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traders, brokers, or dealers in securities, commodities, or currencies;</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wash sale, “straddle,” “conversion transaction” or other risk reduction transaction or synthetic security;</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70"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 financial statement;</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own or have owned, or are deemed to own or to have owned, more than 5% of our common stock (except to the extent specifically set forth below); or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Prospective investors should consult their own tax advisors regarding the particular U.S. federal income, estate, gift, and generation-skipping transfer tax consequences to them of acquiring, owning, and disposing of our common stock, as well as any tax consequences arising under any state, local, or foreign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disclosure in this section addresses the consequences should our board of directors determine to make a distribution of cash or property with respect to our common stock (other than certain distributions of stock which may be made free of tax), or to effect a redemption that is treated for tax purposes as a distribution.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Any such excess allocated to a share of common stock will constitute a return of capital to the extent of the non-U.S. holder’s adjusted tax basis in that share of common stock, reducing that adjusted tax basis, but not below zero. After the non-U.S. holder’s adjusted tax basis in a share of common stock has been reduced to zero, any remaining excess allocated to that share of common stock will be treated as capital gain from the sale of that share of common stock, subject to the tax treatment described below under “Gain on Disposition of Common Stock.” Any such distributions will also be subject to the discussion below regarding backup withholding and foreign accounts. A non-U.S. holder’s adjusted tax basis in a share of common stock is generally the purchase price of the share, reduced by the amount of any distributions constituting a return of capital with respect to that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48"/>
        <w:spacing w:after="0" w:line="287" w:lineRule="auto"/>
        <w:rPr>
          <w:sz w:val="20"/>
          <w:szCs w:val="20"/>
          <w:color w:val="auto"/>
        </w:rPr>
      </w:pPr>
      <w:r>
        <w:rPr>
          <w:rFonts w:ascii="Arial" w:cs="Arial" w:eastAsia="Arial" w:hAnsi="Arial"/>
          <w:sz w:val="16"/>
          <w:szCs w:val="16"/>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U.S., as defined under the applicable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 a portion of its earnings and profits for the taxable year that are effectively connected with a U.S. trade or business, as adjusted for certain items.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any gain realized upon the sale, exchange, or other taxable disposition of our common stock unless:</w:t>
      </w:r>
    </w:p>
    <w:p>
      <w:pPr>
        <w:spacing w:after="0" w:line="170" w:lineRule="exact"/>
        <w:rPr>
          <w:sz w:val="20"/>
          <w:szCs w:val="20"/>
          <w:color w:val="auto"/>
        </w:rPr>
      </w:pPr>
    </w:p>
    <w:p>
      <w:pPr>
        <w:jc w:val="both"/>
        <w:ind w:left="1040" w:hanging="384"/>
        <w:spacing w:after="0" w:line="272"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177" w:lineRule="exact"/>
        <w:rPr>
          <w:rFonts w:ascii="Arial" w:cs="Arial" w:eastAsia="Arial" w:hAnsi="Arial"/>
          <w:sz w:val="17"/>
          <w:szCs w:val="17"/>
          <w:color w:val="auto"/>
        </w:rPr>
      </w:pPr>
    </w:p>
    <w:p>
      <w:pPr>
        <w:jc w:val="both"/>
        <w:ind w:left="1040" w:hanging="384"/>
        <w:spacing w:after="0" w:line="27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U.S.) provided that the non-U.S. holder has timely filed U.S. federal income tax returns reporting those losses; or</w:t>
      </w:r>
    </w:p>
    <w:p>
      <w:pPr>
        <w:spacing w:after="0" w:line="178" w:lineRule="exact"/>
        <w:rPr>
          <w:rFonts w:ascii="Arial" w:cs="Arial" w:eastAsia="Arial" w:hAnsi="Arial"/>
          <w:sz w:val="17"/>
          <w:szCs w:val="17"/>
          <w:color w:val="auto"/>
        </w:rPr>
      </w:pPr>
    </w:p>
    <w:p>
      <w:pPr>
        <w:jc w:val="both"/>
        <w:ind w:left="1040" w:hanging="384"/>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89" w:lineRule="auto"/>
        <w:rPr>
          <w:sz w:val="20"/>
          <w:szCs w:val="20"/>
          <w:color w:val="auto"/>
        </w:rPr>
      </w:pPr>
      <w:r>
        <w:rPr>
          <w:rFonts w:ascii="Arial" w:cs="Arial" w:eastAsia="Arial" w:hAnsi="Arial"/>
          <w:sz w:val="16"/>
          <w:szCs w:val="16"/>
          <w:color w:val="auto"/>
        </w:rPr>
        <w:t>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 No assurance can be provided that our common stock will be regularly traded on an established securities market for purposes of the rule described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rules relating to information reporting requirements and backup withholding with respect to payments of the proceeds from the disposition of shares of our common stock are as follows:</w:t>
      </w:r>
    </w:p>
    <w:p>
      <w:pPr>
        <w:spacing w:after="0" w:line="170" w:lineRule="exact"/>
        <w:rPr>
          <w:sz w:val="20"/>
          <w:szCs w:val="20"/>
          <w:color w:val="auto"/>
        </w:rPr>
      </w:pPr>
    </w:p>
    <w:p>
      <w:pPr>
        <w:jc w:val="both"/>
        <w:ind w:left="1040" w:hanging="384"/>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81" w:lineRule="exact"/>
        <w:rPr>
          <w:rFonts w:ascii="Arial" w:cs="Arial" w:eastAsia="Arial" w:hAnsi="Arial"/>
          <w:sz w:val="18"/>
          <w:szCs w:val="18"/>
          <w:color w:val="auto"/>
        </w:rPr>
      </w:pPr>
    </w:p>
    <w:p>
      <w:pPr>
        <w:ind w:left="1040" w:hanging="384"/>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23" w:lineRule="exact"/>
        <w:rPr>
          <w:rFonts w:ascii="Arial" w:cs="Arial" w:eastAsia="Arial" w:hAnsi="Arial"/>
          <w:sz w:val="16"/>
          <w:szCs w:val="16"/>
          <w:color w:val="auto"/>
        </w:rPr>
      </w:pPr>
    </w:p>
    <w:p>
      <w:pPr>
        <w:jc w:val="both"/>
        <w:ind w:left="1040" w:hanging="384"/>
        <w:spacing w:after="0" w:line="272"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Sections 1471 to 1474 of the Code (commonly referred to as the Foreign Account Tax Compliance Act, or FATCA) generally impose withholding tax on certain types of payments made to “foreign financial institutions” (as defined in the Code) and other non-U.S. entities unless those institutions and entities meet additional certification, information reporting and other requirements. FATCA generally imposes a 30% withholding tax on dividends on our common 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 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dividends on our common stock paid to a “non-financial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Withholding under FATCA generally will not be reduced or limited by bilateral income tax treaties. However, intergovernmental agreements between the U.S. and other countries with respect to the implementation of FATCA and non-U.S. laws, regulations and other authorities enacted or issued with respect to those intergovernmental agreements may modify the FATCA requirements described above.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Common stock owned or treated as owned at the time of death by an individual who is not a citizen or resident of the United States (as specifically defined for U.S. federal estate tax purposes) is considered a U.S. situs asset and will be included in the individual’s gross estate for U.S. federal estate tax purposes and, therefore, may be subject to U.S. federal estate tax, unless an applicable estate tax or other treaty between the United States and such individual’s country of residence provides otherwise.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preceding discussion of U.S. federal tax considerations is for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William Blair &amp; Company, L.L.C. is acting as representative of each of the underwriters named below and as lead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50"/>
        </w:trPr>
        <w:tc>
          <w:tcPr>
            <w:tcW w:w="100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4"/>
        </w:trPr>
        <w:tc>
          <w:tcPr>
            <w:tcW w:w="10180" w:type="dxa"/>
            <w:vAlign w:val="bottom"/>
            <w:gridSpan w:val="2"/>
          </w:tcPr>
          <w:p>
            <w:pPr>
              <w:spacing w:after="0" w:line="204" w:lineRule="exact"/>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cover page of this prospectus supplement and to dealers at that price less a concession not in excess of $ per share. After the initial offering of the shares, the public offering price, concession or any other term of the offering may be changed by the representatives.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7"/>
              </w:rPr>
              <w:t>Total</w:t>
            </w:r>
          </w:p>
        </w:tc>
      </w:tr>
      <w:tr>
        <w:trPr>
          <w:trHeight w:val="198"/>
        </w:trPr>
        <w:tc>
          <w:tcPr>
            <w:tcW w:w="5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Without</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7"/>
                <w:szCs w:val="17"/>
                <w:color w:val="auto"/>
              </w:rPr>
            </w:pPr>
          </w:p>
        </w:tc>
      </w:tr>
      <w:tr>
        <w:trPr>
          <w:trHeight w:val="241"/>
        </w:trPr>
        <w:tc>
          <w:tcPr>
            <w:tcW w:w="5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Per Share</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b w:val="1"/>
                <w:bCs w:val="1"/>
                <w:color w:val="auto"/>
              </w:rPr>
              <w:t>Option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30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9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8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0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 approximately $ . We also have agreed to reimburse the underwriters for up to $50,000 for their counsel. In accordance with FINRA Rule 5110, this reimbursed fee is deemed underwriting compensation for this offering.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additional shares at the public offering price less the underwriting discounts and commissions. If the underwriters exercise this option, each</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underwriter will be obligated, subject to conditions contained in the underwriting agreement, to purchase a number of additional shares proportionate to that underwriter’s initial amount reflected in the above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our executive officers and directors have agreed not to sell or transfer any shares of common stock or securities convertible into or exchangeable or exercisable for shares of common stock, for 90 days after the date of this prospectus supplement without first obtaining the written consent of William Blair &amp; Company, L.L.C., on behalf of the underwriters. Specifically, we and these other persons have agreed, with certain exceptions, not to (i) offer, sell, contract to sell, announce the intention to sell, pledge, grant any option to purchase or otherwise dispose of any of our securities or any securities convertible into or exercisable or exchangeable for, or any rights to purchase or otherwise acquire our securities, (ii) request or demand that we file a registration statement related to the shares of common stock or (iii) publicly announce any of the foregoing.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lock-up provision applies to shares of common stock and to securities convertible into or exchangeable or exercisable for shares of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48"/>
        <w:spacing w:after="0" w:line="302" w:lineRule="auto"/>
        <w:rPr>
          <w:sz w:val="20"/>
          <w:szCs w:val="20"/>
          <w:color w:val="auto"/>
        </w:rPr>
      </w:pPr>
      <w:r>
        <w:rPr>
          <w:rFonts w:ascii="Arial" w:cs="Arial" w:eastAsia="Arial" w:hAnsi="Arial"/>
          <w:sz w:val="16"/>
          <w:szCs w:val="16"/>
          <w:color w:val="auto"/>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this offering, certain of the underwriters or securities dealers may distribute prospectuses by electronic means, such as e-mail.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The underwriters and their affiliates are currently providing investment banking advice to us and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shares may be made to the public in that Relevant Member State other than:</w:t>
      </w:r>
    </w:p>
    <w:p>
      <w:pPr>
        <w:spacing w:after="0" w:line="170"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jc w:val="both"/>
        <w:ind w:left="1040" w:hanging="384"/>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81" w:lineRule="exact"/>
        <w:rPr>
          <w:rFonts w:ascii="Arial" w:cs="Arial" w:eastAsia="Arial" w:hAnsi="Arial"/>
          <w:sz w:val="18"/>
          <w:szCs w:val="18"/>
          <w:color w:val="auto"/>
        </w:rPr>
      </w:pPr>
    </w:p>
    <w:p>
      <w:pPr>
        <w:jc w:val="both"/>
        <w:ind w:left="1040" w:hanging="384"/>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the Company or the representatives to publish a prospectus pursuant to Article 3 of the Prospectus Directive or supplement a prospectus pursuant to Article 16 of the Prospectus Directive.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72" w:lineRule="auto"/>
        <w:rPr>
          <w:sz w:val="20"/>
          <w:szCs w:val="20"/>
          <w:color w:val="auto"/>
        </w:rPr>
      </w:pPr>
      <w:r>
        <w:rPr>
          <w:rFonts w:ascii="Arial" w:cs="Arial" w:eastAsia="Arial" w:hAnsi="Arial"/>
          <w:sz w:val="17"/>
          <w:szCs w:val="17"/>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the representatives and each of our affiliates will rely upon the truth and accuracy of the foregoing representations, acknowledgements and agreements.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validity of the common stock being offered in this offering will be passed upon for us by The Doney Law Firm, Las Vegas, Nevada. Certain other matters with respect to this offering will be passed upon for us by Morgan, Lewis &amp; Bockius LLP, Boston, Massachusetts. Certain legal matters related to this offering will be passed upon for the underwriters by Goodwin Procter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Sadler, Gibb &amp; Associates, LLC has audited our financial statements incorporated in this prospectus supplement by reference to the Annual Report on Form 10-K for the year ended December 31, 2018. Sadler, Gibb &amp; Associates, LLC has presented its report with respect to our audited financial statements. The report of Sadler, Gibb &amp; Associates, LLC is included in reliance upon their authority as experts in accounting and auditing.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Our website is https://www.optimizerx.com. The information contained on, or that can be accessed through, our website is not a part of this prospectus supplement, and you should not consider any information on, or accessible through, our website as part of this prospectus supplement. We have included our website address in this prospectus supplement solely as an inactive textual reference.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into this prospectus supplement the information contained in documents that we file with them,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before the date of this prospectus supplement, while information that we file later with the SEC will automatically update and supersede prior information. Any information so updated and superseded shall not be deemed, except as so updated and superseded, to constitute a part of this prospectus supplement. We incorporate by reference the documents listed below and any future filings we will make with the SEC under Sections 13(a), 13(c), 14 or 15(d) of the Exchange Act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2" w:lineRule="exact"/>
        <w:rPr>
          <w:sz w:val="20"/>
          <w:szCs w:val="20"/>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filed with the SEC on March 12, 2019;</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8, 2019;</w:t>
      </w:r>
    </w:p>
    <w:p>
      <w:pPr>
        <w:spacing w:after="0" w:line="225" w:lineRule="exact"/>
        <w:rPr>
          <w:rFonts w:ascii="Arial" w:cs="Arial" w:eastAsia="Arial" w:hAnsi="Arial"/>
          <w:sz w:val="18"/>
          <w:szCs w:val="18"/>
          <w:color w:val="auto"/>
        </w:rPr>
      </w:pPr>
    </w:p>
    <w:p>
      <w:pPr>
        <w:jc w:val="both"/>
        <w:ind w:left="1040" w:hanging="384"/>
        <w:spacing w:after="0" w:line="264" w:lineRule="auto"/>
        <w:tabs>
          <w:tab w:leader="none" w:pos="1040" w:val="left"/>
        </w:tabs>
        <w:numPr>
          <w:ilvl w:val="0"/>
          <w:numId w:val="13"/>
        </w:numPr>
        <w:rPr>
          <w:rFonts w:ascii="Arial" w:cs="Arial" w:eastAsia="Arial" w:hAnsi="Arial"/>
          <w:sz w:val="18"/>
          <w:szCs w:val="18"/>
          <w:color w:val="0000EE"/>
        </w:rPr>
      </w:pPr>
      <w:hyperlink r:id="rId3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29,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12,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26,</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1,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4,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21,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10, 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31,</w:t>
        </w:r>
      </w:hyperlink>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2019</w:t>
        </w:r>
        <w:r>
          <w:rPr>
            <w:rFonts w:ascii="Arial" w:cs="Arial" w:eastAsia="Arial" w:hAnsi="Arial"/>
            <w:sz w:val="18"/>
            <w:szCs w:val="18"/>
            <w:color w:val="000000"/>
          </w:rPr>
          <w:t>; and</w:t>
        </w:r>
      </w:hyperlink>
    </w:p>
    <w:p>
      <w:pPr>
        <w:spacing w:after="0" w:line="181" w:lineRule="exact"/>
        <w:rPr>
          <w:rFonts w:ascii="Arial" w:cs="Arial" w:eastAsia="Arial" w:hAnsi="Arial"/>
          <w:sz w:val="18"/>
          <w:szCs w:val="18"/>
          <w:color w:val="0000EE"/>
        </w:rPr>
      </w:pPr>
    </w:p>
    <w:p>
      <w:pPr>
        <w:ind w:left="104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description of our common stock contained in the registration statement on </w:t>
      </w:r>
      <w:hyperlink r:id="rId3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on June 19, 2018, and all amendments and reports updating such description.</w:t>
      </w:r>
    </w:p>
    <w:p>
      <w:pPr>
        <w:spacing w:after="0" w:line="170" w:lineRule="exact"/>
        <w:rPr>
          <w:rFonts w:ascii="Arial" w:cs="Arial" w:eastAsia="Arial" w:hAnsi="Arial"/>
          <w:sz w:val="18"/>
          <w:szCs w:val="18"/>
          <w:color w:val="0000EE"/>
        </w:rPr>
      </w:pPr>
    </w:p>
    <w:p>
      <w:pPr>
        <w:jc w:val="both"/>
        <w:ind w:firstLine="648"/>
        <w:spacing w:after="0" w:line="257"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by writing or calling us at the following address and telephone number:</w:t>
      </w:r>
    </w:p>
    <w:p>
      <w:pPr>
        <w:spacing w:after="0" w:line="188"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Rochester, MI 48307</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(248) 651-6568</w:t>
      </w:r>
    </w:p>
    <w:p>
      <w:pPr>
        <w:spacing w:after="0" w:line="211" w:lineRule="exact"/>
        <w:rPr>
          <w:rFonts w:ascii="Arial" w:cs="Arial" w:eastAsia="Arial" w:hAnsi="Arial"/>
          <w:sz w:val="18"/>
          <w:szCs w:val="18"/>
          <w:color w:val="0000EE"/>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to provide you with different information. We are not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396"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154940</wp:posOffset>
            </wp:positionV>
            <wp:extent cx="257302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25730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OptimizeRx Corporation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2,103,702 Common Shares Offered by the Selling Shareholder</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offer and sell from time to time common shares, preferred shares, debt securities, warrants or units. We may offer and sell these securities to or through one or more underwriters, dealers and agents, or directly to purchasers, on a continuous or delayed basis. Specific amounts and terms of these securities will be provided in supplements to this prospectus. The aggregate initial offering price of all securities sold by us will not exceed $40,000,000.</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selling shareholder named in this prospectus (the “selling shareholder”) may from time to time offer and sell up to 2,103,702 of our common shares. The selling shareholder may offer and sell our common shares in public or private transactions, or both. These sales may occur at fixed prices, at market prices prevailing at the time of sale, at prices related to prevailing market prices, or at negotiated prices. See “Plan of Distribution” for more information on how the selling shareholder may conduct sales of our common shares. We will not receive any proceeds from any sale of these common shares by the selling shareholders.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time we or the selling shareholder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ANY SIMILAR SECTION CONTAINED IN THE APPLICABLE PROSPECTUS SUPPLEMENT CONCERNING FACTORS YOU SHOULD CONSIDER BEFORE INVESTING IN OUR SECURITIES.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shares are listed on the Nasdaq Capital Market under the symbol “OPRX.” On December 10, 2018, the last reported sale price of our common shares on the Nasdaq Capital Market was $14.90 per share.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40" w:type="dxa"/>
            <w:vAlign w:val="bottom"/>
            <w:gridSpan w:val="2"/>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OptimizeRx Corporation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0000EE"/>
            </w:tcBorders>
            <w:gridSpan w:val="8"/>
          </w:tcPr>
          <w:p>
            <w:pPr>
              <w:spacing w:after="0" w:line="17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About This Prospectus</w:t>
              </w:r>
            </w:hyperlink>
          </w:p>
        </w:tc>
        <w:tc>
          <w:tcPr>
            <w:tcW w:w="872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Incorporation By Reference</w:t>
              </w:r>
            </w:hyperlink>
          </w:p>
        </w:tc>
        <w:tc>
          <w:tcPr>
            <w:tcW w:w="850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Use of Proceeds</w:t>
              </w:r>
            </w:hyperlink>
          </w:p>
        </w:tc>
        <w:tc>
          <w:tcPr>
            <w:tcW w:w="934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Selling Shareholder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Share Capital</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Description of Warrants</w:t>
              </w:r>
            </w:hyperlink>
          </w:p>
        </w:tc>
        <w:tc>
          <w:tcPr>
            <w:tcW w:w="87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Units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Plan of Distribution</w:t>
              </w:r>
            </w:hyperlink>
          </w:p>
        </w:tc>
        <w:tc>
          <w:tcPr>
            <w:tcW w:w="908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1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15"/>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Disclosure of Commission Position on Indemnification for Securities Act Liabilities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Neither we nor the selling shareholders have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Neither we nor the selling shareholders are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or the context otherwise requires, all references in this prospectus to “OptimizeRx Corporation” or the “Company,” “Registrant,” “we,” “our,” “ours,” “us” or similar terms refer to OptimizeRx Corporation, together with its subsidiaries, and, where the context requires, our predecessor entities.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16140" cy="5878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t>OPTIMIZERX CORPORATION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address 400 Water Street, Suite 200 Rochester, MI 48307. Our telephone number at this address is (248) 651-6568. Our principal website is https://optimizerx.com/. The information contained on, or that can be accessed through, our website is not a part of this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$40,000,000 as described in this prospectus. In addition, under this shelf registration statement, the selling shareholder named in this prospectus may sell, from time to time, up to 2,103,702 of our common shares. Each time that we or the selling shareholders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by Reference.”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prospectus, any prospectus supplement and the documents incorporated by reference herein or therein contain forward-looking statements within the meaning of Section 27A of the Securities Act of 1933, as amended (the “Securities Act”), and Section 21E of the Securities Exchange Act of 1934, as amended (the “Exchange Act”). Such statements contained in this prospectus or any prospectus supplement or incorporated by reference herein or therein are based upon current expectations that involve risks and uncertainties. Any statements contained in this prospectus or any prospectus supplement or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in the “Risk Factors” section, in addition to the other information set forth in this prospectus or any prospectus supplement or incorporated by reference herein or therein. We claim the protection of the safe harbor for forward-looking statements contained in the Private Securities Litigation Reform Act of 1995 for all forward-looking statements. All forward-looking statements contained in this prospectus or any prospectus supplement or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our Annual Report on Form 10-K for the year ended December 31, 2017 and our Quarterly Reports on Form 10-Q for the quarters ended March 31, 2018, June 30, 2018 and September 30, 2018. You should carefully consider the risks described in the “Risk Factors” section, in addition to the other information set forth in this prospectus or any prospectus supplement or incorporated by reference herein or therein, before making an investment decision.</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40" w:top="432"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16140" cy="6015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16140" cy="6015990"/>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10-K, quarterly reports on Form 10-Q and current reports on Form 8-K.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 We also maintain a website at ir.smartm.com,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shares. We have included our website address in this prospectus solely as an inactive textual reference.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of 1934, as amended, prior to the termination of the offering under this prospectus:</w:t>
      </w:r>
    </w:p>
    <w:p>
      <w:pPr>
        <w:spacing w:after="0" w:line="188"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March 8, 2018;</w:t>
      </w:r>
    </w:p>
    <w:p>
      <w:pPr>
        <w:spacing w:after="0" w:line="23"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47">
        <w:r>
          <w:rPr>
            <w:rFonts w:ascii="Arial" w:cs="Arial" w:eastAsia="Arial" w:hAnsi="Arial"/>
            <w:sz w:val="18"/>
            <w:szCs w:val="18"/>
            <w:u w:val="single" w:color="auto"/>
            <w:color w:val="0000EE"/>
          </w:rPr>
          <w:t>March 31, 2018</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June 30,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9">
        <w:r>
          <w:rPr>
            <w:rFonts w:ascii="Arial" w:cs="Arial" w:eastAsia="Arial" w:hAnsi="Arial"/>
            <w:sz w:val="18"/>
            <w:szCs w:val="18"/>
            <w:u w:val="single" w:color="auto"/>
            <w:color w:val="0000EE"/>
          </w:rPr>
          <w:t>September 30, 2018</w:t>
        </w:r>
      </w:hyperlink>
      <w:r>
        <w:rPr>
          <w:rFonts w:ascii="Arial" w:cs="Arial" w:eastAsia="Arial" w:hAnsi="Arial"/>
          <w:sz w:val="18"/>
          <w:szCs w:val="18"/>
          <w:color w:val="auto"/>
        </w:rPr>
        <w:t>, filed with the SEC on May 2, 2018, August 7, 2018 and November 5, 2018, respectively;</w:t>
      </w:r>
    </w:p>
    <w:p>
      <w:pPr>
        <w:ind w:left="660" w:hanging="333"/>
        <w:spacing w:after="0" w:line="250" w:lineRule="auto"/>
        <w:tabs>
          <w:tab w:leader="none" w:pos="660" w:val="left"/>
        </w:tabs>
        <w:numPr>
          <w:ilvl w:val="0"/>
          <w:numId w:val="14"/>
        </w:numPr>
        <w:rPr>
          <w:rFonts w:ascii="Arial" w:cs="Arial" w:eastAsia="Arial" w:hAnsi="Arial"/>
          <w:sz w:val="18"/>
          <w:szCs w:val="18"/>
          <w:color w:val="0000EE"/>
        </w:rPr>
      </w:pPr>
      <w:r>
        <w:rPr>
          <w:rFonts w:ascii="Arial" w:cs="Arial" w:eastAsia="Arial" w:hAnsi="Arial"/>
          <w:sz w:val="18"/>
          <w:szCs w:val="18"/>
          <w:color w:val="auto"/>
        </w:rPr>
        <w:t xml:space="preserve">Current Reports on Form 8-K or 8-K/A, as the case may be, filed with the SEC on </w:t>
      </w:r>
      <w:hyperlink r:id="rId50">
        <w:r>
          <w:rPr>
            <w:rFonts w:ascii="Arial" w:cs="Arial" w:eastAsia="Arial" w:hAnsi="Arial"/>
            <w:sz w:val="18"/>
            <w:szCs w:val="18"/>
            <w:u w:val="single" w:color="auto"/>
            <w:color w:val="0000EE"/>
          </w:rPr>
          <w:t>December 10, 2018</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October 17, 2018</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September 14, 2018</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March 27, 2018</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4">
        <w:r>
          <w:rPr>
            <w:rFonts w:ascii="Arial" w:cs="Arial" w:eastAsia="Arial" w:hAnsi="Arial"/>
            <w:sz w:val="18"/>
            <w:szCs w:val="18"/>
            <w:u w:val="single" w:color="auto"/>
            <w:color w:val="0000EE"/>
          </w:rPr>
          <w:t>February 2,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ind w:left="660" w:hanging="333"/>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 our Registration Statement on </w:t>
      </w:r>
      <w:hyperlink r:id="rId38">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June 19, 2018, including any amendment or reports filed for the purpose of updating such description.</w:t>
      </w:r>
    </w:p>
    <w:p>
      <w:pPr>
        <w:spacing w:after="0" w:line="184" w:lineRule="exact"/>
        <w:rPr>
          <w:rFonts w:ascii="Arial" w:cs="Arial" w:eastAsia="Arial" w:hAnsi="Arial"/>
          <w:sz w:val="18"/>
          <w:szCs w:val="18"/>
          <w:color w:val="0000EE"/>
        </w:rPr>
      </w:pPr>
    </w:p>
    <w:p>
      <w:pPr>
        <w:jc w:val="both"/>
        <w:spacing w:after="0" w:line="264" w:lineRule="auto"/>
        <w:rPr>
          <w:sz w:val="20"/>
          <w:szCs w:val="20"/>
          <w:color w:val="auto"/>
        </w:rPr>
      </w:pPr>
      <w:r>
        <w:rPr>
          <w:rFonts w:ascii="Arial" w:cs="Arial" w:eastAsia="Arial" w:hAnsi="Arial"/>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7.01 or 8.01 of Form 8-K or certain exhibits furnished pursuant to Item 9.01 of Form 8-K.</w:t>
      </w:r>
    </w:p>
    <w:p>
      <w:pPr>
        <w:spacing w:after="0" w:line="181" w:lineRule="exact"/>
        <w:rPr>
          <w:rFonts w:ascii="Arial" w:cs="Arial" w:eastAsia="Arial" w:hAnsi="Arial"/>
          <w:sz w:val="18"/>
          <w:szCs w:val="18"/>
          <w:color w:val="0000EE"/>
        </w:rPr>
      </w:pPr>
    </w:p>
    <w:p>
      <w:pPr>
        <w:jc w:val="both"/>
        <w:spacing w:after="0" w:line="277" w:lineRule="auto"/>
        <w:rPr>
          <w:sz w:val="20"/>
          <w:szCs w:val="20"/>
          <w:color w:val="auto"/>
        </w:rPr>
      </w:pPr>
      <w:r>
        <w:rPr>
          <w:rFonts w:ascii="Arial" w:cs="Arial" w:eastAsia="Arial" w:hAnsi="Arial"/>
          <w:sz w:val="18"/>
          <w:szCs w:val="18"/>
          <w:color w:val="auto"/>
        </w:rPr>
        <w:t>You may request, and we will provide you with, a copy of these filings, at no cost, by calling us at (248) 651-6568 or by writing to us at the following address:</w:t>
      </w:r>
    </w:p>
    <w:p>
      <w:pPr>
        <w:spacing w:after="0" w:line="17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Rochester, MI 48307</w:t>
      </w:r>
    </w:p>
    <w:p>
      <w:pPr>
        <w:spacing w:after="0" w:line="211" w:lineRule="exact"/>
        <w:rPr>
          <w:rFonts w:ascii="Arial" w:cs="Arial" w:eastAsia="Arial" w:hAnsi="Arial"/>
          <w:sz w:val="18"/>
          <w:szCs w:val="18"/>
          <w:color w:val="0000EE"/>
        </w:rPr>
      </w:pPr>
    </w:p>
    <w:p>
      <w:pPr>
        <w:jc w:val="both"/>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rFonts w:ascii="Arial" w:cs="Arial" w:eastAsia="Arial" w:hAnsi="Arial"/>
          <w:sz w:val="18"/>
          <w:szCs w:val="18"/>
          <w:color w:val="0000EE"/>
        </w:rPr>
      </w:pPr>
    </w:p>
    <w:p>
      <w:pPr>
        <w:spacing w:after="0" w:line="274"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340" w:top="432"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investment in our securities involves significant risks. Before purchasing any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our Annual Report on Form 10-K for the year ended December 31, 2017,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indicated in a prospectus supplement, the net proceeds from the sale of the securities will be used for general corporate purposes, including working capital, acquisitions, retirement of debt and other business opportunities. We will not receive any proceeds from any shares sold by the selling shareholder.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prepared this prospectus to allow the selling shareholder or its transferees to sell or otherwise dispose of, from time to time, up to 2,103,702 common shares. On or about September 24, 2015, the selling shareholder, through a subsidiary company, made a strategic investment in our company and presently owns approximately 18% of the common shares in our company.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time of the investment, we entered into an Investor Rights Agreement, which provides, among other things, demand registration rights for its securities, inspection rights over our books and records, observer rights to attend and observe our director meetings, a seat on our board of directors, budget review of our financial plans, right of first refusal in the event we issue new securities and special board approval for certain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at the time of the investment, we amended and restated an existing Co-Marketing Agreement with Grey Healthcare Group, LLC (“GHG”) an affiliate of WPP. This agreement was amended to give the GHG the option to receive all or part of the compensation due under the agreement in our common shares. In March of 2018, we issued 100,000 shares of our common stock to a subsidiary of WPP related to the finalization and termination of the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us and WPP in 2017 and 2016.</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7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table below presents information regarding the selling shareholder and the common shares that they may sell or otherwise dispose of from time to time under this prospectus. Percentages of beneficial ownership are based upon 12,014,185 common shares issued and outstanding as of December 10, 2018. Beneficial ownership is determined under Section 13(d) of the Exchange Act and generally includes voting or investment power with respect to securities and including any securities that grant the selling shareholder the right to acquire common shares within 60 days of December 10, 2018. Unless otherwise noted, each person or group identified possesses sole voting and investment power with respect to the shares, subject to community property laws where applicable.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know when or in what amounts the selling shareholder may sell or otherwise dispose of the shares covered hereby. We currently have no agreements, arrangements or understandings with the selling shareholder regarding the sale or other disposition of any of the shares by them other than the registration rights agreement described above. The selling shareholder might not sell any or all of the shares covered by this prospectus or may sell or dispose of some or all of the shares other than pursuant to this prospectus. Because the selling shareholder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 after completion of the offering. For purposes of determining the beneficial ownership of the selling shareholder after this offering, we have assumed that all of the shares covered hereby have been sold pursuant to the registration statement of which this prospectus forms a part.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to be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Sold Pursuant</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 Prior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 this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Owned</w:t>
            </w: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After Offering</w:t>
            </w: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WPP Luxembourg Gamma Three S.a r.l.</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2,103,702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5"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166,666,667 shares of common stock and 10,000,000 shares of preferred stock, par value $0.001 per share. As of December 10, 2018, there were 12,014,185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 2018, we entered into a registration rights agreement with certain investors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filed a registration statement covering these shares in a post-effective amendment to Form S-1 on Form S-3, filed with the SEC on July 3,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Demand Registration Rights</w:t>
      </w:r>
      <w:r>
        <w:rPr>
          <w:rFonts w:ascii="Arial" w:cs="Arial" w:eastAsia="Arial" w:hAnsi="Arial"/>
          <w:sz w:val="18"/>
          <w:szCs w:val="18"/>
          <w:color w:val="auto"/>
        </w:rPr>
        <w:t>. We granted the Investor registration rights for the 2,003,702 acquired from us and any securities acquired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an Amended and Restated Co-Marketing Agreement after a period of two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Inspection Rights</w:t>
      </w:r>
      <w:r>
        <w:rPr>
          <w:rFonts w:ascii="Arial" w:cs="Arial" w:eastAsia="Arial" w:hAnsi="Arial"/>
          <w:sz w:val="18"/>
          <w:szCs w:val="18"/>
          <w:color w:val="auto"/>
        </w:rPr>
        <w:t>. So long as the Investor owns not less than 25% of the Shares, we granted the Investor an annual right to inspect our books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Board Seat</w:t>
      </w:r>
      <w:r>
        <w:rPr>
          <w:rFonts w:ascii="Arial" w:cs="Arial" w:eastAsia="Arial" w:hAnsi="Arial"/>
          <w:sz w:val="18"/>
          <w:szCs w:val="18"/>
          <w:color w:val="auto"/>
        </w:rPr>
        <w:t>. So long as the Investor owns not less than 25% of the Shares, we agreed to appoint a nominee of the Investor as a member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We also agreed to a five member Board of Directors provided that it is not prohibited by the rules and regulations of an exchange that we trade on. We also agreed to enter into an Indemnity Agreement with the nominee.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Budget Review</w:t>
      </w:r>
      <w:r>
        <w:rPr>
          <w:rFonts w:ascii="Arial" w:cs="Arial" w:eastAsia="Arial" w:hAnsi="Arial"/>
          <w:sz w:val="18"/>
          <w:szCs w:val="18"/>
          <w:color w:val="auto"/>
        </w:rPr>
        <w:t>. So long as the Investor owns not less than 25% of the Shares, we agreed to review our budget plans with the Investor’s nominee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submission to the Board of Directors, at the request of the Investor.</w:t>
      </w: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We agreed that, in the event that it proposes to sell new securities, we will first offer such new securities to the Investor.</w:t>
      </w:r>
    </w:p>
    <w:p>
      <w:pPr>
        <w:spacing w:after="0" w:line="32"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Special Approval Matters</w:t>
      </w:r>
      <w:r>
        <w:rPr>
          <w:rFonts w:ascii="Arial" w:cs="Arial" w:eastAsia="Arial" w:hAnsi="Arial"/>
          <w:sz w:val="17"/>
          <w:szCs w:val="17"/>
          <w:color w:val="auto"/>
        </w:rPr>
        <w:t>. So long as the Investor owns not less than 25% of the Shares, and provided that it is not prohibited by the rules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regulations of an exchange that we trades on, we agreed that 80% Board approval will be required for certain decisions, including:</w:t>
      </w:r>
    </w:p>
    <w:p>
      <w:pPr>
        <w:spacing w:after="0" w:line="189"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ind w:left="1300" w:right="2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ind w:left="130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130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jc w:val="both"/>
        <w:ind w:left="1300" w:hanging="320"/>
        <w:spacing w:after="0" w:line="25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WPP has not demanded registration; we have chosen to register these shares on behalf of the selling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outstanding warrants to purchase our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options outstanding to purchase 1,444,464 shares of our common stock at a weighted average exercise price of $3.62 as of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Nasdaq Capital Market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debt securities we may issue will constitute either senior or subordinated debt of our company. Any debt securities that are sold may be exchangeable for and/or convertible into common shares or any of the other securities that may be sold under this prospectus. Any debt securities will be issued under an indenture between us and a trustee we will designate, or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preferred shares, common shares or any combination of such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and/or the selling shareholder, including its pledgees, donees, transferees, distributees, beneficiaries or other successors in interest, if applicable, may sell the securities in one or more of the following ways (or in any combination) from time to time:</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one or more block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ordinary brokerage transactions or transactions in which a broker solicits purchases;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 pledge of the securities for any loan or obligation, including pledges to brokers or dealers who may from time to time effect distributions of the securities, and, in the case of any collateral call or default on such loan or obligation, pledges or sales of the securities by such pledges or secured parties;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one or more exchanges or over the counter market transactions;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distribution by a selling shareholder or its successor in interest to its members, general or limited partners or shareholders (or their respective members, general or limited partners or shareholders);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the writing of options, whether the options are listed on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distributions to creditors and equityholders or the selling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agents;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necessary, the prospectus supplement will state the terms of the offering of the securities,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or names of any selling shareholder;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If we and/or the selling shareholder, if applicable, use underwriters or broker-dealers in the sale, the securities will be acquired by the underwriters or broker-dealers, as applicable, for their own account and may be resold from time to time in one or more transactions, including:</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market offerings,” within the meaning of Rule 415(a)(4) of the Securities Act, to or through a market maker or into an existing trading market, on an exchange or otherwise;</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and/or the selling shareholder, if applicable, may sell the securities through agents from time to time. The prospectus supplement will name any agent involved in the offer or sale of the securities and any commissions we pay to them. Generally, any agent will be acting on a best-efforts basis for the period of its appointment.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and/or the selling shareholder,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Underwriters and agents may be entitled under agreements entered into with us and/or the selling shareholders, if applicable, to indemnification by us and/or the selling shareholders,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 may also resell all or a portion of its securities in open market transactions in reliance upon Rule 144 under the Securities Act, provided it meets the criteria and conforms to the requirements of Rule 144 and all applicable laws and regulations.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selling shareholder that is an entity may elect to make a pro rata in-kind distribution of shares of our common stock to its members, partners or stockholders pursuant to the registration statement of which this prospectus forms a part by delivering a prospectus. To the extent that such members, partners or stockholders are not affiliates of such selling shareholder, such members, partners or stockholders would thereby receive freely tradeable shares of our common stock pursuant to the distribution through a registration statement.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our common shares. The third parties also may use shares of the common shares received under those sale, forward sale or derivative arrangements or shares of the common shares pledged by the selling shareholder or borrowed from the selling shareholders or others to settle such third-party sales or to close out any related open borrowings of our common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selling shareholder may engage in hedging transactions with broker-dealers in connection with distributions of the securities or otherwise. In those transactions, broker-dealers may engage in short sales of securities in the course of hedging the positions they assume with selling shareholders.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shareholders also may loan or pledge the securities, and the borrower or pledgee may sell or otherwise transfer the securities so loaned or pledged pursuant to this prospectus. Such borrower or pledgee also may transfer those securities to investors in our securities or the selling shareholders’ securities or in connection with the offering of other securities not covered by this prospectus.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series of securities other than the common shares, which is listed on the Nasdaq Capital Market, and any series of debt securities outstanding on the date hereof, will be a new issue of securities and will have no established trading market. Any underwriters to whom securities are sold for public offering and sale may make a market in the securities, but such underwriters will not be obligated to do so and may discontinue any market making at any time without notice. The securities, other than the common shares, may or may not be listed on a national securities exchange.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left="470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148590</wp:posOffset>
            </wp:positionV>
            <wp:extent cx="2872740" cy="831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2872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PROSPECTUS SUPPLEMENT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40"/>
        <w:spacing w:after="0"/>
        <w:tabs>
          <w:tab w:leader="none" w:pos="360" w:val="left"/>
        </w:tabs>
        <w:rPr>
          <w:sz w:val="20"/>
          <w:szCs w:val="20"/>
          <w:color w:val="auto"/>
        </w:rPr>
      </w:pPr>
      <w:r>
        <w:rPr>
          <w:rFonts w:ascii="Arial" w:cs="Arial" w:eastAsia="Arial" w:hAnsi="Arial"/>
          <w:sz w:val="22"/>
          <w:szCs w:val="22"/>
          <w:color w:val="auto"/>
        </w:rPr>
        <w:t>June</w:t>
      </w:r>
      <w:r>
        <w:rPr>
          <w:sz w:val="20"/>
          <w:szCs w:val="20"/>
          <w:color w:val="auto"/>
        </w:rPr>
        <w:tab/>
      </w:r>
      <w:r>
        <w:rPr>
          <w:rFonts w:ascii="Arial" w:cs="Arial" w:eastAsia="Arial" w:hAnsi="Arial"/>
          <w:sz w:val="22"/>
          <w:szCs w:val="22"/>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556260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9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upperLetter"/>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o"/>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e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jpeg"/><Relationship Id="rId65" Type="http://schemas.openxmlformats.org/officeDocument/2006/relationships/image" Target="media/image44.png"/><Relationship Id="rId34" Type="http://schemas.openxmlformats.org/officeDocument/2006/relationships/hyperlink" Target="http://www.sec.gov/Archives/edgar/data/1448431/000121390019003962/f10k2018_optimizerxcorp.htm" TargetMode="External"/><Relationship Id="rId35" Type="http://schemas.openxmlformats.org/officeDocument/2006/relationships/hyperlink" Target="http://www.sec.gov/Archives/edgar/data/1448431/000121390019008055/f10q0319_optimizerxcorp.htm" TargetMode="External"/><Relationship Id="rId36" Type="http://schemas.openxmlformats.org/officeDocument/2006/relationships/hyperlink" Target="http://www.sec.gov/Archives/edgar/data/1448431/000121390019003159/f8k022519_optimizerxcorp.htm" TargetMode="External"/><Relationship Id="rId37" Type="http://schemas.openxmlformats.org/officeDocument/2006/relationships/hyperlink" Target="http://www.sec.gov/Archives/edgar/data/1448431/000121390019009861/f8k053119_optimizerxcorp.htm" TargetMode="External"/><Relationship Id="rId38" Type="http://schemas.openxmlformats.org/officeDocument/2006/relationships/hyperlink" Target="http://www.sec.gov/Archives/edgar/data/1448431/000121390018007863/f8a12b061918_optimizerx.htm" TargetMode="External"/><Relationship Id="rId46" Type="http://schemas.openxmlformats.org/officeDocument/2006/relationships/hyperlink" Target="http://www.sec.gov/Archives/edgar/data/1448431/000121390018002722/f10k2017_optimizerxcorp.htm" TargetMode="External"/><Relationship Id="rId47" Type="http://schemas.openxmlformats.org/officeDocument/2006/relationships/hyperlink" Target="http://www.sec.gov/Archives/edgar/data/1448431/000121390018005414/f10q0318_optimizerx.htm" TargetMode="External"/><Relationship Id="rId48" Type="http://schemas.openxmlformats.org/officeDocument/2006/relationships/hyperlink" Target="http://www.sec.gov/Archives/edgar/data/1448431/000121390018010359/f10q0618_optimizerxcorp.htm" TargetMode="External"/><Relationship Id="rId49" Type="http://schemas.openxmlformats.org/officeDocument/2006/relationships/hyperlink" Target="http://www.sec.gov/Archives/edgar/data/1448431/000121390018014893/f10q0918_optimizerxcorp.htm" TargetMode="External"/><Relationship Id="rId50" Type="http://schemas.openxmlformats.org/officeDocument/2006/relationships/hyperlink" Target="http://www.sec.gov/Archives/edgar/data/1448431/000121390018017133/f8k101618a1_optimizerxcorp.htm" TargetMode="External"/><Relationship Id="rId51" Type="http://schemas.openxmlformats.org/officeDocument/2006/relationships/hyperlink" Target="http://www.sec.gov/Archives/edgar/data/1448431/000121390018014013/f8k101718_optimizerxcorp.htm" TargetMode="External"/><Relationship Id="rId52" Type="http://schemas.openxmlformats.org/officeDocument/2006/relationships/hyperlink" Target="http://www.sec.gov/Archives/edgar/data/1448431/000121390018012576/f8k091218_optimizerxcorp.htm" TargetMode="External"/><Relationship Id="rId53" Type="http://schemas.openxmlformats.org/officeDocument/2006/relationships/hyperlink" Target="http://www.sec.gov/Archives/edgar/data/1448431/000121390018003489/f8k032318_optimizerxcorp.htm" TargetMode="External"/><Relationship Id="rId54" Type="http://schemas.openxmlformats.org/officeDocument/2006/relationships/hyperlink" Target="http://www.sec.gov/Archives/edgar/data/1448431/000121390018001234/f8k020218_optimizerx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2019-12-02T01:16:59Z</dcterms:created>
  <dcterms:modified xsi:type="dcterms:W3CDTF">2019-12-02T01:16:59Z</dcterms:modified>
</cp:coreProperties>
</file>