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097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180" w:type="dxa"/>
            <w:vAlign w:val="bottom"/>
            <w:gridSpan w:val="6"/>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9"/>
              </w:rPr>
              <w:t>FORM 8-K</w:t>
            </w:r>
          </w:p>
        </w:tc>
        <w:tc>
          <w:tcPr>
            <w:tcW w:w="3280" w:type="dxa"/>
            <w:vAlign w:val="bottom"/>
          </w:tcPr>
          <w:p>
            <w:pPr>
              <w:spacing w:after="0"/>
              <w:rPr>
                <w:sz w:val="20"/>
                <w:szCs w:val="20"/>
                <w:color w:val="auto"/>
              </w:rPr>
            </w:pPr>
          </w:p>
        </w:tc>
      </w:tr>
      <w:tr>
        <w:trPr>
          <w:trHeight w:val="410"/>
        </w:trPr>
        <w:tc>
          <w:tcPr>
            <w:tcW w:w="3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180" w:type="dxa"/>
            <w:vAlign w:val="bottom"/>
            <w:gridSpan w:val="6"/>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9"/>
              </w:rPr>
              <w:t>CURRENT REPORT</w:t>
            </w:r>
          </w:p>
        </w:tc>
        <w:tc>
          <w:tcPr>
            <w:tcW w:w="3280" w:type="dxa"/>
            <w:vAlign w:val="bottom"/>
          </w:tcPr>
          <w:p>
            <w:pPr>
              <w:spacing w:after="0"/>
              <w:rPr>
                <w:sz w:val="24"/>
                <w:szCs w:val="24"/>
                <w:color w:val="auto"/>
              </w:rPr>
            </w:pPr>
          </w:p>
        </w:tc>
      </w:tr>
      <w:tr>
        <w:trPr>
          <w:trHeight w:val="216"/>
        </w:trPr>
        <w:tc>
          <w:tcPr>
            <w:tcW w:w="3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180" w:type="dxa"/>
            <w:vAlign w:val="bottom"/>
            <w:gridSpan w:val="6"/>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w w:val="99"/>
              </w:rPr>
              <w:t>PURSUANT TO SECTION 13 OR 15(d) OF</w:t>
            </w:r>
          </w:p>
        </w:tc>
        <w:tc>
          <w:tcPr>
            <w:tcW w:w="3280" w:type="dxa"/>
            <w:vAlign w:val="bottom"/>
          </w:tcPr>
          <w:p>
            <w:pPr>
              <w:spacing w:after="0"/>
              <w:rPr>
                <w:sz w:val="18"/>
                <w:szCs w:val="18"/>
                <w:color w:val="auto"/>
              </w:rPr>
            </w:pPr>
          </w:p>
        </w:tc>
      </w:tr>
      <w:tr>
        <w:trPr>
          <w:trHeight w:val="238"/>
        </w:trPr>
        <w:tc>
          <w:tcPr>
            <w:tcW w:w="3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480" w:type="dxa"/>
            <w:vAlign w:val="bottom"/>
            <w:gridSpan w:val="8"/>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THE SECURITIES EXCHANGE ACT OF 1934</w:t>
            </w:r>
          </w:p>
        </w:tc>
        <w:tc>
          <w:tcPr>
            <w:tcW w:w="3280" w:type="dxa"/>
            <w:vAlign w:val="bottom"/>
          </w:tcPr>
          <w:p>
            <w:pPr>
              <w:spacing w:after="0"/>
              <w:rPr>
                <w:sz w:val="20"/>
                <w:szCs w:val="20"/>
                <w:color w:val="auto"/>
              </w:rPr>
            </w:pPr>
          </w:p>
        </w:tc>
      </w:tr>
      <w:tr>
        <w:trPr>
          <w:trHeight w:val="432"/>
        </w:trPr>
        <w:tc>
          <w:tcPr>
            <w:tcW w:w="3080" w:type="dxa"/>
            <w:vAlign w:val="bottom"/>
          </w:tcPr>
          <w:p>
            <w:pPr>
              <w:spacing w:after="0"/>
              <w:rPr>
                <w:sz w:val="24"/>
                <w:szCs w:val="24"/>
                <w:color w:val="auto"/>
              </w:rPr>
            </w:pPr>
          </w:p>
        </w:tc>
        <w:tc>
          <w:tcPr>
            <w:tcW w:w="5060" w:type="dxa"/>
            <w:vAlign w:val="bottom"/>
            <w:gridSpan w:val="9"/>
          </w:tcPr>
          <w:p>
            <w:pPr>
              <w:jc w:val="center"/>
              <w:ind w:left="130"/>
              <w:spacing w:after="0"/>
              <w:rPr>
                <w:sz w:val="20"/>
                <w:szCs w:val="20"/>
                <w:color w:val="auto"/>
              </w:rPr>
            </w:pPr>
            <w:r>
              <w:rPr>
                <w:rFonts w:ascii="Times New Roman" w:cs="Times New Roman" w:eastAsia="Times New Roman" w:hAnsi="Times New Roman"/>
                <w:sz w:val="18"/>
                <w:szCs w:val="18"/>
                <w:color w:val="auto"/>
              </w:rPr>
              <w:t>Date of Report (Date of earliest event reported): October 2, 2017</w:t>
            </w:r>
          </w:p>
        </w:tc>
        <w:tc>
          <w:tcPr>
            <w:tcW w:w="3280" w:type="dxa"/>
            <w:vAlign w:val="bottom"/>
          </w:tcPr>
          <w:p>
            <w:pPr>
              <w:spacing w:after="0"/>
              <w:rPr>
                <w:sz w:val="24"/>
                <w:szCs w:val="24"/>
                <w:color w:val="auto"/>
              </w:rPr>
            </w:pPr>
          </w:p>
        </w:tc>
      </w:tr>
      <w:tr>
        <w:trPr>
          <w:trHeight w:val="392"/>
        </w:trPr>
        <w:tc>
          <w:tcPr>
            <w:tcW w:w="3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5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OptimizeRx Corporation</w:t>
            </w:r>
          </w:p>
        </w:tc>
        <w:tc>
          <w:tcPr>
            <w:tcW w:w="680" w:type="dxa"/>
            <w:vAlign w:val="bottom"/>
            <w:gridSpan w:val="3"/>
          </w:tcPr>
          <w:p>
            <w:pPr>
              <w:spacing w:after="0"/>
              <w:rPr>
                <w:sz w:val="24"/>
                <w:szCs w:val="24"/>
                <w:color w:val="auto"/>
              </w:rPr>
            </w:pPr>
          </w:p>
        </w:tc>
        <w:tc>
          <w:tcPr>
            <w:tcW w:w="3280" w:type="dxa"/>
            <w:vAlign w:val="bottom"/>
          </w:tcPr>
          <w:p>
            <w:pPr>
              <w:spacing w:after="0"/>
              <w:rPr>
                <w:sz w:val="24"/>
                <w:szCs w:val="24"/>
                <w:color w:val="auto"/>
              </w:rPr>
            </w:pPr>
          </w:p>
        </w:tc>
      </w:tr>
      <w:tr>
        <w:trPr>
          <w:trHeight w:val="237"/>
        </w:trPr>
        <w:tc>
          <w:tcPr>
            <w:tcW w:w="3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480" w:type="dxa"/>
            <w:vAlign w:val="bottom"/>
            <w:gridSpan w:val="8"/>
          </w:tcPr>
          <w:p>
            <w:pPr>
              <w:jc w:val="center"/>
              <w:ind w:right="36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280" w:type="dxa"/>
            <w:vAlign w:val="bottom"/>
          </w:tcPr>
          <w:p>
            <w:pPr>
              <w:spacing w:after="0"/>
              <w:rPr>
                <w:sz w:val="20"/>
                <w:szCs w:val="20"/>
                <w:color w:val="auto"/>
              </w:rPr>
            </w:pPr>
          </w:p>
        </w:tc>
      </w:tr>
      <w:tr>
        <w:trPr>
          <w:trHeight w:val="453"/>
        </w:trPr>
        <w:tc>
          <w:tcPr>
            <w:tcW w:w="308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rPr>
              <w:t>Nevada</w:t>
            </w:r>
          </w:p>
        </w:tc>
        <w:tc>
          <w:tcPr>
            <w:tcW w:w="4380" w:type="dxa"/>
            <w:vAlign w:val="bottom"/>
            <w:gridSpan w:val="6"/>
          </w:tcPr>
          <w:p>
            <w:pPr>
              <w:jc w:val="center"/>
              <w:ind w:left="830"/>
              <w:spacing w:after="0"/>
              <w:rPr>
                <w:sz w:val="20"/>
                <w:szCs w:val="20"/>
                <w:color w:val="auto"/>
              </w:rPr>
            </w:pPr>
            <w:r>
              <w:rPr>
                <w:rFonts w:ascii="Times New Roman" w:cs="Times New Roman" w:eastAsia="Times New Roman" w:hAnsi="Times New Roman"/>
                <w:sz w:val="18"/>
                <w:szCs w:val="18"/>
                <w:color w:val="auto"/>
                <w:w w:val="99"/>
              </w:rPr>
              <w:t>000-53605</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8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26-1265381</w:t>
            </w:r>
          </w:p>
        </w:tc>
      </w:tr>
      <w:tr>
        <w:trPr>
          <w:trHeight w:val="198"/>
        </w:trPr>
        <w:tc>
          <w:tcPr>
            <w:tcW w:w="3080" w:type="dxa"/>
            <w:vAlign w:val="bottom"/>
            <w:tcBorders>
              <w:top w:val="single" w:sz="8" w:color="auto"/>
            </w:tcBorders>
          </w:tcPr>
          <w:p>
            <w:pPr>
              <w:jc w:val="center"/>
              <w:ind w:left="510"/>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5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3600" w:type="dxa"/>
            <w:vAlign w:val="bottom"/>
            <w:tcBorders>
              <w:top w:val="single" w:sz="8" w:color="auto"/>
            </w:tcBorders>
            <w:gridSpan w:val="4"/>
          </w:tcPr>
          <w:p>
            <w:pPr>
              <w:jc w:val="center"/>
              <w:ind w:right="60"/>
              <w:spacing w:after="0" w:line="198" w:lineRule="exact"/>
              <w:rPr>
                <w:sz w:val="20"/>
                <w:szCs w:val="20"/>
                <w:color w:val="auto"/>
              </w:rPr>
            </w:pPr>
            <w:r>
              <w:rPr>
                <w:rFonts w:ascii="Times New Roman" w:cs="Times New Roman" w:eastAsia="Times New Roman" w:hAnsi="Times New Roman"/>
                <w:sz w:val="18"/>
                <w:szCs w:val="18"/>
                <w:color w:val="auto"/>
                <w:w w:val="99"/>
              </w:rPr>
              <w:t>(Commission File Number)</w:t>
            </w:r>
          </w:p>
        </w:tc>
        <w:tc>
          <w:tcPr>
            <w:tcW w:w="2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3280" w:type="dxa"/>
            <w:vAlign w:val="bottom"/>
            <w:tcBorders>
              <w:top w:val="single" w:sz="8" w:color="auto"/>
            </w:tcBorders>
          </w:tcPr>
          <w:p>
            <w:pPr>
              <w:jc w:val="center"/>
              <w:ind w:right="330"/>
              <w:spacing w:after="0" w:line="198"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308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rPr>
              <w:t>of incorporation)</w:t>
            </w: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8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53"/>
        </w:trPr>
        <w:tc>
          <w:tcPr>
            <w:tcW w:w="8140" w:type="dxa"/>
            <w:vAlign w:val="bottom"/>
            <w:gridSpan w:val="10"/>
          </w:tcPr>
          <w:p>
            <w:pPr>
              <w:jc w:val="center"/>
              <w:ind w:right="2520"/>
              <w:spacing w:after="0"/>
              <w:rPr>
                <w:sz w:val="20"/>
                <w:szCs w:val="20"/>
                <w:color w:val="auto"/>
              </w:rPr>
            </w:pPr>
            <w:r>
              <w:rPr>
                <w:rFonts w:ascii="Times New Roman" w:cs="Times New Roman" w:eastAsia="Times New Roman" w:hAnsi="Times New Roman"/>
                <w:sz w:val="18"/>
                <w:szCs w:val="18"/>
                <w:color w:val="auto"/>
                <w:w w:val="99"/>
              </w:rPr>
              <w:t>400 Water Street, Suite 200, Rochester, MI</w:t>
            </w:r>
          </w:p>
        </w:tc>
        <w:tc>
          <w:tcPr>
            <w:tcW w:w="3280" w:type="dxa"/>
            <w:vAlign w:val="bottom"/>
          </w:tcPr>
          <w:p>
            <w:pPr>
              <w:jc w:val="right"/>
              <w:ind w:right="2490"/>
              <w:spacing w:after="0"/>
              <w:rPr>
                <w:sz w:val="20"/>
                <w:szCs w:val="20"/>
                <w:color w:val="auto"/>
              </w:rPr>
            </w:pPr>
            <w:r>
              <w:rPr>
                <w:rFonts w:ascii="Times New Roman" w:cs="Times New Roman" w:eastAsia="Times New Roman" w:hAnsi="Times New Roman"/>
                <w:sz w:val="18"/>
                <w:szCs w:val="18"/>
                <w:color w:val="auto"/>
              </w:rPr>
              <w:t>48307</w:t>
            </w:r>
          </w:p>
        </w:tc>
      </w:tr>
      <w:tr>
        <w:trPr>
          <w:trHeight w:val="234"/>
        </w:trPr>
        <w:tc>
          <w:tcPr>
            <w:tcW w:w="5620" w:type="dxa"/>
            <w:vAlign w:val="bottom"/>
            <w:tcBorders>
              <w:top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00" w:type="dxa"/>
            <w:vAlign w:val="bottom"/>
          </w:tcPr>
          <w:p>
            <w:pPr>
              <w:spacing w:after="0"/>
              <w:rPr>
                <w:sz w:val="20"/>
                <w:szCs w:val="20"/>
                <w:color w:val="auto"/>
              </w:rPr>
            </w:pPr>
          </w:p>
        </w:tc>
        <w:tc>
          <w:tcPr>
            <w:tcW w:w="16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gridSpan w:val="3"/>
          </w:tcPr>
          <w:p>
            <w:pPr>
              <w:spacing w:after="0"/>
              <w:rPr>
                <w:sz w:val="20"/>
                <w:szCs w:val="20"/>
                <w:color w:val="auto"/>
              </w:rPr>
            </w:pPr>
          </w:p>
        </w:tc>
        <w:tc>
          <w:tcPr>
            <w:tcW w:w="3280" w:type="dxa"/>
            <w:vAlign w:val="bottom"/>
            <w:tcBorders>
              <w:top w:val="single" w:sz="8" w:color="auto"/>
            </w:tcBorders>
          </w:tcPr>
          <w:p>
            <w:pPr>
              <w:jc w:val="center"/>
              <w:ind w:right="223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u w:val="single" w:color="auto"/>
          <w:color w:val="auto"/>
        </w:rPr>
        <w:t>248.651.6568</w:t>
      </w:r>
    </w:p>
    <w:p>
      <w:pPr>
        <w:spacing w:after="0" w:line="225"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8"/>
          <w:szCs w:val="18"/>
          <w:color w:val="auto"/>
        </w:rPr>
        <w:t>___________________________________________________</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2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8 – Other Events</w:t>
      </w:r>
    </w:p>
    <w:p>
      <w:pPr>
        <w:spacing w:after="0" w:line="225" w:lineRule="exact"/>
        <w:rPr>
          <w:sz w:val="20"/>
          <w:szCs w:val="20"/>
          <w:color w:val="auto"/>
        </w:rPr>
      </w:pPr>
    </w:p>
    <w:p>
      <w:pPr>
        <w:ind w:left="20"/>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October 2, 2017, we issued a press release concerning our partnership with Aprima Medical Software to help patients save money and be better educated about their prescriptions. A copy of the press release is attached as Exhibit 99.1 to this Current Report on Form 8-K.</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in Item 8.01 of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 – Financial Statements and Exhibits</w:t>
      </w:r>
    </w:p>
    <w:p>
      <w:pPr>
        <w:spacing w:after="0" w:line="225" w:lineRule="exact"/>
        <w:rPr>
          <w:sz w:val="20"/>
          <w:szCs w:val="20"/>
          <w:color w:val="auto"/>
        </w:rPr>
      </w:pPr>
    </w:p>
    <w:p>
      <w:pPr>
        <w:ind w:left="20"/>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229" w:lineRule="exact"/>
        <w:rPr>
          <w:sz w:val="20"/>
          <w:szCs w:val="20"/>
          <w:color w:val="auto"/>
        </w:rPr>
      </w:pPr>
    </w:p>
    <w:p>
      <w:pPr>
        <w:spacing w:after="0"/>
        <w:tabs>
          <w:tab w:leader="none" w:pos="8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99.1</w:t>
      </w:r>
      <w:r>
        <w:rPr>
          <w:sz w:val="20"/>
          <w:szCs w:val="20"/>
          <w:color w:val="auto"/>
        </w:rPr>
        <w:tab/>
      </w:r>
      <w:hyperlink w:anchor="page4">
        <w:r>
          <w:rPr>
            <w:rFonts w:ascii="Times New Roman" w:cs="Times New Roman" w:eastAsia="Times New Roman" w:hAnsi="Times New Roman"/>
            <w:sz w:val="18"/>
            <w:szCs w:val="18"/>
            <w:u w:val="single" w:color="auto"/>
            <w:color w:val="0000EE"/>
          </w:rPr>
          <w:t>Press release, dated October 2, 2017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89877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Douglas Baker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3, 2017</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234315</wp:posOffset>
            </wp:positionV>
            <wp:extent cx="1655445" cy="4114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55445" cy="41148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157480</wp:posOffset>
            </wp:positionV>
            <wp:extent cx="1380490" cy="5746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80490"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OptimizeRx Launches Automated Financial Messaging within Aprima EHR,</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Providing Prescription Cost Savings at Point of Care</w:t>
      </w:r>
    </w:p>
    <w:p>
      <w:pPr>
        <w:sectPr>
          <w:pgSz w:w="11900" w:h="16838" w:orient="portrait"/>
          <w:cols w:equalWidth="0" w:num="1">
            <w:col w:w="11420"/>
          </w:cols>
          <w:pgMar w:left="240" w:top="117" w:right="239" w:bottom="1440" w:gutter="0" w:footer="0" w:header="0"/>
        </w:sectPr>
      </w:pP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Rochester, MI and Richardson, TX, (October 2, 2017) — </w:t>
      </w:r>
      <w:r>
        <w:rPr>
          <w:rFonts w:ascii="Times New Roman" w:cs="Times New Roman" w:eastAsia="Times New Roman" w:hAnsi="Times New Roman"/>
          <w:sz w:val="18"/>
          <w:szCs w:val="18"/>
          <w:color w:val="auto"/>
        </w:rPr>
        <w:t>via electronic health records (EHRs), has partnered with prescriptions.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20" w:firstLine="16"/>
        <w:spacing w:after="0" w:line="282" w:lineRule="auto"/>
        <w:rPr>
          <w:sz w:val="20"/>
          <w:szCs w:val="20"/>
          <w:color w:val="auto"/>
        </w:rPr>
      </w:pPr>
      <w:r>
        <w:rPr>
          <w:rFonts w:ascii="Times New Roman" w:cs="Times New Roman" w:eastAsia="Times New Roman" w:hAnsi="Times New Roman"/>
          <w:sz w:val="18"/>
          <w:szCs w:val="18"/>
          <w:color w:val="auto"/>
        </w:rPr>
        <w:t>OptimizeRx Corp. (OTCQB: OPRX), the nation’s leading provider of digital health messaging Aprima Medical Software to help patients save money and be better educated about their</w:t>
      </w:r>
    </w:p>
    <w:p>
      <w:pPr>
        <w:spacing w:after="0" w:line="377" w:lineRule="exact"/>
        <w:rPr>
          <w:sz w:val="20"/>
          <w:szCs w:val="20"/>
          <w:color w:val="auto"/>
        </w:rPr>
      </w:pPr>
    </w:p>
    <w:p>
      <w:pPr>
        <w:sectPr>
          <w:pgSz w:w="11900" w:h="16838" w:orient="portrait"/>
          <w:cols w:equalWidth="0" w:num="2">
            <w:col w:w="4400" w:space="40"/>
            <w:col w:w="6980"/>
          </w:cols>
          <w:pgMar w:left="240" w:top="117" w:right="239" w:bottom="1440" w:gutter="0" w:footer="0" w:header="0"/>
          <w:type w:val="continuous"/>
        </w:sectPr>
      </w:pPr>
    </w:p>
    <w:p>
      <w:pPr>
        <w:jc w:val="both"/>
        <w:spacing w:after="0" w:line="266" w:lineRule="auto"/>
        <w:rPr>
          <w:sz w:val="20"/>
          <w:szCs w:val="20"/>
          <w:color w:val="auto"/>
        </w:rPr>
      </w:pPr>
      <w:r>
        <w:rPr>
          <w:rFonts w:ascii="Times New Roman" w:cs="Times New Roman" w:eastAsia="Times New Roman" w:hAnsi="Times New Roman"/>
          <w:sz w:val="18"/>
          <w:szCs w:val="18"/>
          <w:color w:val="auto"/>
        </w:rPr>
        <w:t>Aprima provides innovative EHR, practice management, population health and revenue cycle management solutions for medical practices. For nearly two decades, the company has delivered quality solutions that have helped tens of thousands of users enhance patient care and satisfaction, as well as improve their practices’ bottom lines.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OptimizeRx services will operate seamlessly within the Aprima EHR provider workflow, and alert health care providers (HCPs) to potential prescription savings and support information for patients.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“OptimizeRx integration within our EHR allows valuable prescription-related financial information and education to be delivered right at the point of care by providers using the Aprima system,” said Aprima COO, Neil Simon. “Incorporating OptimizeRx into the Aprima EHR helps improve the accuracy, speed and efficiency with which our providers answer patient questions about their prescriptions. In addition, with OptimizeRx, patients can save money on their prescriptions, which is very welcomed in this environment of growing healthcare costs and patient out-of-pocket expenses.”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OptimizeRx growing eRx network includes more than 370 EHRs that reach over 500,000 HCPs in the U.S., making it the healthcare industry’s largest point-of-prescribe promotional network.</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partnership with Aprima, a leader in the EHR health industry, expands our growing EHR network,” said Miriam Paramore, president of OptimizeRx. “HCPs are now spending about half their professional time engaged in their EHR platform. HCPs using Aprima system can now dramatically enhance their workflow experience with OptimizeRx’s suite of services, which provides access to financial assistance and patient education.”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Aprima Medical Software, Inc.</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Aprima provides innovative electronic health record (EHR), practice management (PM), population health and revenue cycle management (RCM) solutions for medical practices. For nearly two decades, the company has delivered quality solutions that have helped tens of thousands of users enhance patient care and satisfaction, as well as improve their practices’ bottom lines. The Aprima EHR/PM solution sets the benchmark for ease-of-use, speed and flexibility, thanks to its single application, single database and customizable design that adapts automatically to individual physician workflows. Aprima has a proven track record of compliance with government initiatives, such as Meaningful Use and ICD-10, has been awarded pre-validation status for NCQA PCMH recognition and has been given the </w:t>
      </w:r>
      <w:r>
        <w:rPr>
          <w:rFonts w:ascii="Times New Roman" w:cs="Times New Roman" w:eastAsia="Times New Roman" w:hAnsi="Times New Roman"/>
          <w:sz w:val="18"/>
          <w:szCs w:val="18"/>
          <w:u w:val="single" w:color="auto"/>
          <w:color w:val="auto"/>
        </w:rPr>
        <w:t>Frost &amp; Sullivan 2017 Award for Product Leadership</w:t>
      </w:r>
      <w:r>
        <w:rPr>
          <w:rFonts w:ascii="Times New Roman" w:cs="Times New Roman" w:eastAsia="Times New Roman" w:hAnsi="Times New Roman"/>
          <w:sz w:val="18"/>
          <w:szCs w:val="18"/>
          <w:color w:val="auto"/>
        </w:rPr>
        <w:t xml:space="preserve">. The company is based in Richardson, Texas and performs all development, support and implementation from within the U.S. To learn more about how Aprima can help your practice, please visit </w:t>
      </w:r>
      <w:r>
        <w:rPr>
          <w:rFonts w:ascii="Times New Roman" w:cs="Times New Roman" w:eastAsia="Times New Roman" w:hAnsi="Times New Roman"/>
          <w:sz w:val="18"/>
          <w:szCs w:val="18"/>
          <w:u w:val="single" w:color="auto"/>
          <w:color w:val="auto"/>
        </w:rPr>
        <w:t>www.aprima.com</w:t>
      </w:r>
      <w:r>
        <w:rPr>
          <w:rFonts w:ascii="Times New Roman" w:cs="Times New Roman" w:eastAsia="Times New Roman" w:hAnsi="Times New Roman"/>
          <w:sz w:val="18"/>
          <w:szCs w:val="18"/>
          <w:color w:val="auto"/>
        </w:rPr>
        <w:t xml:space="preserve">, call us at 844 4APRIMA or email us at </w:t>
      </w:r>
      <w:r>
        <w:rPr>
          <w:rFonts w:ascii="Times New Roman" w:cs="Times New Roman" w:eastAsia="Times New Roman" w:hAnsi="Times New Roman"/>
          <w:sz w:val="18"/>
          <w:szCs w:val="18"/>
          <w:u w:val="single" w:color="auto"/>
          <w:color w:val="auto"/>
        </w:rPr>
        <w:t>info@aprima.com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About OptimizeRx</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OptimizeRx® (OTCQB: OPRX) is the nation’s leading provider of digital health messaging via electronic health records (EHRs). The company’s cloud-based solution supports patient adherence to medications by providing convenient access to financial assistance, prior authorization, education, and critical clinical information. The company’s network is comprised of more than 370 independent EHR platforms, providing more than half a million healthcare providers access to these benefits within their e-prescribing workflow and at the point of care. The largest of its kind, the OptimizeRx EHR network helps improve patient care and outcomes by providing a direct channel for pharma companies to communicate with healthcare providers. For more information, follow the company on </w:t>
      </w:r>
      <w:r>
        <w:rPr>
          <w:rFonts w:ascii="Times New Roman" w:cs="Times New Roman" w:eastAsia="Times New Roman" w:hAnsi="Times New Roman"/>
          <w:sz w:val="18"/>
          <w:szCs w:val="18"/>
          <w:u w:val="single" w:color="auto"/>
          <w:color w:val="auto"/>
        </w:rPr>
        <w:t>Twitter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color w:val="auto"/>
        </w:rPr>
        <w:t xml:space="preserve"> or visit </w:t>
      </w:r>
      <w:r>
        <w:rPr>
          <w:rFonts w:ascii="Times New Roman" w:cs="Times New Roman" w:eastAsia="Times New Roman" w:hAnsi="Times New Roman"/>
          <w:sz w:val="18"/>
          <w:szCs w:val="18"/>
          <w:u w:val="single" w:color="auto"/>
          <w:color w:val="auto"/>
        </w:rPr>
        <w:t>www.optimizerx.com</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Cautions Regarding Forward Looking Statements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definition of Section 27A of the Securities Act of 1933, as amended and such section 21E of the Securities Act of 1934,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Contact: Aprima Press and Analyst Relations</w:t>
            </w:r>
          </w:p>
        </w:tc>
        <w:tc>
          <w:tcPr>
            <w:tcW w:w="1720" w:type="dxa"/>
            <w:vAlign w:val="bottom"/>
          </w:tcPr>
          <w:p>
            <w:pPr>
              <w:spacing w:after="0"/>
              <w:rPr>
                <w:sz w:val="20"/>
                <w:szCs w:val="20"/>
                <w:color w:val="auto"/>
              </w:rPr>
            </w:pPr>
          </w:p>
        </w:tc>
        <w:tc>
          <w:tcPr>
            <w:tcW w:w="2840" w:type="dxa"/>
            <w:vAlign w:val="bottom"/>
          </w:tcPr>
          <w:p>
            <w:pPr>
              <w:spacing w:after="0"/>
              <w:rPr>
                <w:sz w:val="20"/>
                <w:szCs w:val="20"/>
                <w:color w:val="auto"/>
              </w:rPr>
            </w:pPr>
          </w:p>
        </w:tc>
      </w:tr>
      <w:tr>
        <w:trPr>
          <w:trHeight w:val="414"/>
        </w:trPr>
        <w:tc>
          <w:tcPr>
            <w:tcW w:w="68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Media Contact:</w:t>
            </w:r>
          </w:p>
        </w:tc>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Aprima Contact:</w:t>
            </w:r>
          </w:p>
        </w:tc>
      </w:tr>
      <w:tr>
        <w:trPr>
          <w:trHeight w:val="216"/>
        </w:trPr>
        <w:tc>
          <w:tcPr>
            <w:tcW w:w="6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Joy Dinaro</w:t>
            </w:r>
          </w:p>
        </w:tc>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Judy Friedman</w:t>
            </w:r>
          </w:p>
        </w:tc>
      </w:tr>
      <w:tr>
        <w:trPr>
          <w:trHeight w:val="194"/>
        </w:trPr>
        <w:tc>
          <w:tcPr>
            <w:tcW w:w="686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auto"/>
              </w:rPr>
              <w:t>Amendola Communications for Aprima</w:t>
            </w:r>
          </w:p>
        </w:tc>
        <w:tc>
          <w:tcPr>
            <w:tcW w:w="45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jfriedman@aprima.com</w:t>
            </w:r>
          </w:p>
        </w:tc>
      </w:tr>
      <w:tr>
        <w:trPr>
          <w:trHeight w:val="196"/>
        </w:trPr>
        <w:tc>
          <w:tcPr>
            <w:tcW w:w="68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JDiNaro@ACMarketingPR.com</w:t>
            </w:r>
          </w:p>
        </w:tc>
        <w:tc>
          <w:tcPr>
            <w:tcW w:w="1720" w:type="dxa"/>
            <w:vAlign w:val="bottom"/>
            <w:tcBorders>
              <w:top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469.863.8307</w:t>
            </w:r>
          </w:p>
        </w:tc>
        <w:tc>
          <w:tcPr>
            <w:tcW w:w="2840" w:type="dxa"/>
            <w:vAlign w:val="bottom"/>
          </w:tcPr>
          <w:p>
            <w:pPr>
              <w:spacing w:after="0"/>
              <w:rPr>
                <w:sz w:val="17"/>
                <w:szCs w:val="17"/>
                <w:color w:val="auto"/>
              </w:rPr>
            </w:pPr>
          </w:p>
        </w:tc>
      </w:tr>
      <w:tr>
        <w:trPr>
          <w:trHeight w:val="237"/>
        </w:trPr>
        <w:tc>
          <w:tcPr>
            <w:tcW w:w="1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847.809.0406</w:t>
            </w:r>
          </w:p>
        </w:tc>
        <w:tc>
          <w:tcPr>
            <w:tcW w:w="1160" w:type="dxa"/>
            <w:vAlign w:val="bottom"/>
            <w:tcBorders>
              <w:top w:val="single" w:sz="8" w:color="auto"/>
            </w:tcBorders>
          </w:tcPr>
          <w:p>
            <w:pPr>
              <w:spacing w:after="0"/>
              <w:rPr>
                <w:sz w:val="20"/>
                <w:szCs w:val="20"/>
                <w:color w:val="auto"/>
              </w:rPr>
            </w:pPr>
          </w:p>
        </w:tc>
        <w:tc>
          <w:tcPr>
            <w:tcW w:w="45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840" w:type="dxa"/>
            <w:vAlign w:val="bottom"/>
          </w:tcPr>
          <w:p>
            <w:pPr>
              <w:spacing w:after="0"/>
              <w:rPr>
                <w:sz w:val="20"/>
                <w:szCs w:val="20"/>
                <w:color w:val="auto"/>
              </w:rPr>
            </w:pPr>
          </w:p>
        </w:tc>
      </w:tr>
      <w:tr>
        <w:trPr>
          <w:trHeight w:val="414"/>
        </w:trPr>
        <w:tc>
          <w:tcPr>
            <w:tcW w:w="68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Investor Relations Contact for OptimizeRx:</w:t>
            </w:r>
          </w:p>
        </w:tc>
        <w:tc>
          <w:tcPr>
            <w:tcW w:w="172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16"/>
        </w:trPr>
        <w:tc>
          <w:tcPr>
            <w:tcW w:w="6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Ron Both, CMA</w:t>
            </w:r>
          </w:p>
        </w:tc>
        <w:tc>
          <w:tcPr>
            <w:tcW w:w="172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16"/>
        </w:trPr>
        <w:tc>
          <w:tcPr>
            <w:tcW w:w="6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Tel (949) 432-7557</w:t>
            </w:r>
          </w:p>
        </w:tc>
        <w:tc>
          <w:tcPr>
            <w:tcW w:w="172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194"/>
        </w:trPr>
        <w:tc>
          <w:tcPr>
            <w:tcW w:w="686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auto"/>
              </w:rPr>
              <w:t>oprx@cma.team</w:t>
            </w:r>
          </w:p>
        </w:tc>
        <w:tc>
          <w:tcPr>
            <w:tcW w:w="1720" w:type="dxa"/>
            <w:vAlign w:val="bottom"/>
          </w:tcPr>
          <w:p>
            <w:pPr>
              <w:spacing w:after="0"/>
              <w:rPr>
                <w:sz w:val="16"/>
                <w:szCs w:val="16"/>
                <w:color w:val="auto"/>
              </w:rPr>
            </w:pPr>
          </w:p>
        </w:tc>
        <w:tc>
          <w:tcPr>
            <w:tcW w:w="2840" w:type="dxa"/>
            <w:vAlign w:val="bottom"/>
          </w:tcPr>
          <w:p>
            <w:pPr>
              <w:spacing w:after="0"/>
              <w:rPr>
                <w:sz w:val="16"/>
                <w:szCs w:val="16"/>
                <w:color w:val="auto"/>
              </w:rPr>
            </w:pPr>
          </w:p>
        </w:tc>
      </w:tr>
      <w:tr>
        <w:trPr>
          <w:trHeight w:val="460"/>
        </w:trPr>
        <w:tc>
          <w:tcPr>
            <w:tcW w:w="1200" w:type="dxa"/>
            <w:vAlign w:val="bottom"/>
            <w:tcBorders>
              <w:top w:val="single" w:sz="8" w:color="auto"/>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90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2019-12-29T04:30:40Z</dcterms:created>
  <dcterms:modified xsi:type="dcterms:W3CDTF">2019-12-29T04:30:40Z</dcterms:modified>
</cp:coreProperties>
</file>