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S-1/A</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REGISTRATION STATEMENT </w:t>
      </w: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Nevada</w:t>
            </w:r>
          </w:p>
        </w:tc>
        <w:tc>
          <w:tcPr>
            <w:tcW w:w="112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268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8"/>
        </w:trPr>
        <w:tc>
          <w:tcPr>
            <w:tcW w:w="2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tcPr>
          <w:p>
            <w:pPr>
              <w:spacing w:after="0"/>
              <w:rPr>
                <w:sz w:val="18"/>
                <w:szCs w:val="18"/>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100" w:type="dxa"/>
            <w:vAlign w:val="bottom"/>
          </w:tcPr>
          <w:p>
            <w:pPr>
              <w:spacing w:after="0"/>
              <w:rPr>
                <w:sz w:val="20"/>
                <w:szCs w:val="20"/>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Cane Clark Agency, LLC</w:t>
            </w:r>
          </w:p>
        </w:tc>
      </w:tr>
      <w:tr>
        <w:trPr>
          <w:trHeight w:val="216"/>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400 Water Street, Suite 200</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3273 E. Warm Springs Rd.</w:t>
            </w:r>
          </w:p>
        </w:tc>
      </w:tr>
      <w:tr>
        <w:trPr>
          <w:trHeight w:val="216"/>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Rochester, MI 48307</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Las Vegas, NV 89120</w:t>
            </w:r>
          </w:p>
        </w:tc>
      </w:tr>
      <w:tr>
        <w:trPr>
          <w:trHeight w:val="198"/>
        </w:trPr>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5"/>
              </w:rPr>
              <w:t>(248) 651-6568</w:t>
            </w: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4"/>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(702) 312-6255</w:t>
            </w:r>
          </w:p>
        </w:tc>
        <w:tc>
          <w:tcPr>
            <w:tcW w:w="840" w:type="dxa"/>
            <w:vAlign w:val="bottom"/>
          </w:tcPr>
          <w:p>
            <w:pPr>
              <w:spacing w:after="0"/>
              <w:rPr>
                <w:sz w:val="17"/>
                <w:szCs w:val="17"/>
                <w:color w:val="auto"/>
              </w:rPr>
            </w:pP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1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including zip code, and</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9"/>
              </w:rPr>
              <w:t>(Name, address, including zip code,</w:t>
            </w:r>
          </w:p>
        </w:tc>
      </w:tr>
      <w:tr>
        <w:trPr>
          <w:trHeight w:val="216"/>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telephone number, including area</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and telephone number, including</w:t>
            </w:r>
          </w:p>
        </w:tc>
      </w:tr>
      <w:tr>
        <w:trPr>
          <w:trHeight w:val="212"/>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code, of principal executive offices)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area code, of agent for service)</w:t>
            </w:r>
          </w:p>
        </w:tc>
      </w:tr>
      <w:tr>
        <w:trPr>
          <w:trHeight w:val="220"/>
        </w:trPr>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From time to time after this registration statement becomes effective.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 1933, check the following box. [X]</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16" w:right="239" w:bottom="1440" w:gutter="0" w:footer="0" w:header="0"/>
        </w:sectPr>
      </w:pPr>
    </w:p>
    <w:p>
      <w:pPr>
        <w:spacing w:after="0" w:line="162"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4"/>
          <w:szCs w:val="24"/>
          <w:color w:val="auto"/>
        </w:rPr>
      </w:pPr>
    </w:p>
    <w:p>
      <w:pPr>
        <w:sectPr>
          <w:pgSz w:w="11900" w:h="16838" w:orient="portrait"/>
          <w:cols w:equalWidth="0" w:num="4">
            <w:col w:w="3340" w:space="120"/>
            <w:col w:w="3120" w:space="720"/>
            <w:col w:w="1400" w:space="720"/>
            <w:col w:w="2000"/>
          </w:cols>
          <w:pgMar w:left="240" w:top="216" w:right="239" w:bottom="1440" w:gutter="0" w:footer="0" w:header="0"/>
          <w:type w:val="continuous"/>
        </w:sectPr>
      </w:pPr>
    </w:p>
    <w:p>
      <w:pPr>
        <w:spacing w:after="0" w:line="52"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4">
            <w:col w:w="3240" w:space="220"/>
            <w:col w:w="3660" w:space="180"/>
            <w:col w:w="1980" w:space="140"/>
            <w:col w:w="2000"/>
          </w:cols>
          <w:pgMar w:left="240" w:top="216" w:right="239" w:bottom="1440" w:gutter="0" w:footer="0" w:header="0"/>
          <w:type w:val="continuous"/>
        </w:sectPr>
      </w:pPr>
    </w:p>
    <w:p>
      <w:pPr>
        <w:spacing w:after="0" w:line="2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Scott Doney,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Cane Clark,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3273 E. Warm Springs 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Vegas, NV 89120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(702) 312-6255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Facsimile: (702) 944-7100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May 23, 2014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9,137,472 Shares of Common Stock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Shareholders of up to 9,137,472 shares of our Common Stock, par value $0.001 per share (the “Common Stock”). The Common Stock was acquired by the Selling Shareholders in connection with a private placement offering we completed on March 17, 2014 (the “March 2014 Private Placement”). We are registering the resale of the Common Stock as required by the Registration Rights Agreement we entered into with the Selling Shareholders in connection with the March 2014 Private Placement (the “Registration Rights Agreement”). Of the Common Stock offered herein, 804,139 shares are issuable upon the exercise of warrants held by the placement agents in the March 2014 Private Placement.</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14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OTC Bulletin Board under the symbol “OPRX.” On May 19, 2014, the last reported sale price of our Common Stock was $1.72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7.</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May 23, 2014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157480</wp:posOffset>
            </wp:positionV>
            <wp:extent cx="2573020" cy="831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ABOUT THIS PROSPECTUS</w:t>
              </w:r>
            </w:hyperlink>
          </w:p>
        </w:tc>
        <w:tc>
          <w:tcPr>
            <w:tcW w:w="2920" w:type="dxa"/>
            <w:vAlign w:val="bottom"/>
            <w:gridSpan w:val="13"/>
          </w:tcPr>
          <w:p>
            <w:pPr>
              <w:spacing w:after="0"/>
              <w:rPr>
                <w:sz w:val="17"/>
                <w:szCs w:val="17"/>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286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ABOUT FORWARD-LOOKING STATEMENTS</w:t>
              </w:r>
            </w:hyperlink>
          </w:p>
        </w:tc>
        <w:tc>
          <w:tcPr>
            <w:tcW w:w="1560" w:type="dxa"/>
            <w:vAlign w:val="bottom"/>
            <w:gridSpan w:val="8"/>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SUMMARY</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3900" w:type="dxa"/>
            <w:vAlign w:val="bottom"/>
            <w:gridSpan w:val="2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USE OF PROCEEDS</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86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DETERMINATION OF OFFERING PRICE</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8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SELLING SHAREHOLDERS</w:t>
              </w:r>
            </w:hyperlink>
          </w:p>
        </w:tc>
        <w:tc>
          <w:tcPr>
            <w:tcW w:w="1000" w:type="dxa"/>
            <w:vAlign w:val="bottom"/>
            <w:tcBorders>
              <w:top w:val="single" w:sz="8" w:color="0000EE"/>
            </w:tcBorders>
            <w:gridSpan w:val="5"/>
          </w:tcPr>
          <w:p>
            <w:pPr>
              <w:spacing w:after="0"/>
              <w:rPr>
                <w:sz w:val="17"/>
                <w:szCs w:val="17"/>
                <w:color w:val="auto"/>
              </w:rPr>
            </w:pPr>
          </w:p>
        </w:tc>
        <w:tc>
          <w:tcPr>
            <w:tcW w:w="1940" w:type="dxa"/>
            <w:vAlign w:val="bottom"/>
            <w:gridSpan w:val="9"/>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86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PLAN OF DISTRIBUTION</w:t>
              </w:r>
            </w:hyperlink>
          </w:p>
        </w:tc>
        <w:tc>
          <w:tcPr>
            <w:tcW w:w="3100" w:type="dxa"/>
            <w:vAlign w:val="bottom"/>
            <w:gridSpan w:val="16"/>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8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LEGAL PROCEEDINGS</w:t>
              </w:r>
            </w:hyperlink>
          </w:p>
        </w:tc>
        <w:tc>
          <w:tcPr>
            <w:tcW w:w="3280" w:type="dxa"/>
            <w:vAlign w:val="bottom"/>
            <w:gridSpan w:val="17"/>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6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DIRECTORS, EXECUTIVE OFFICERS, PROMOTERS AND</w:t>
              </w:r>
            </w:hyperlink>
          </w:p>
        </w:tc>
        <w:tc>
          <w:tcPr>
            <w:tcW w:w="560" w:type="dxa"/>
            <w:vAlign w:val="bottom"/>
            <w:gridSpan w:val="3"/>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CONTROL PERSONS</w:t>
              </w:r>
            </w:hyperlink>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SECURITY OWNERSHIP OF CERTAIN BENEFICIAL OWNERS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86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AND MANAGEMENT</w:t>
              </w:r>
            </w:hyperlink>
          </w:p>
        </w:tc>
        <w:tc>
          <w:tcPr>
            <w:tcW w:w="3420" w:type="dxa"/>
            <w:vAlign w:val="bottom"/>
            <w:gridSpan w:val="18"/>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DESCRIPTION OF SECURITIES</w:t>
              </w:r>
            </w:hyperlink>
          </w:p>
        </w:tc>
        <w:tc>
          <w:tcPr>
            <w:tcW w:w="2640" w:type="dxa"/>
            <w:vAlign w:val="bottom"/>
            <w:gridSpan w:val="10"/>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86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INTERESTS OF NAMED EXPERTS AND COUNSEL</w:t>
              </w:r>
            </w:hyperlink>
          </w:p>
        </w:tc>
        <w:tc>
          <w:tcPr>
            <w:tcW w:w="1100" w:type="dxa"/>
            <w:vAlign w:val="bottom"/>
            <w:gridSpan w:val="5"/>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DISCLOSURE OF COMMISSION POSITION OF</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INDEMNIFICATION FOR SECURITIES ACT LIABILITIES</w:t>
              </w:r>
            </w:hyperlink>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DESCRIPTION OF BUSINESS</w:t>
              </w:r>
            </w:hyperlink>
          </w:p>
        </w:tc>
        <w:tc>
          <w:tcPr>
            <w:tcW w:w="620" w:type="dxa"/>
            <w:vAlign w:val="bottom"/>
            <w:gridSpan w:val="4"/>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CERTAIN RELATIONSHIPS AND RELATED TRANSACTIONS</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860" w:type="dxa"/>
            <w:vAlign w:val="bottom"/>
          </w:tcPr>
          <w:p>
            <w:pPr>
              <w:spacing w:after="0"/>
              <w:rPr>
                <w:sz w:val="17"/>
                <w:szCs w:val="17"/>
                <w:color w:val="auto"/>
              </w:rPr>
            </w:pPr>
          </w:p>
        </w:tc>
        <w:tc>
          <w:tcPr>
            <w:tcW w:w="48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MARKET FOR COMMON EQUITY AND RELATED</w:t>
              </w:r>
            </w:hyperlink>
          </w:p>
        </w:tc>
        <w:tc>
          <w:tcPr>
            <w:tcW w:w="300" w:type="dxa"/>
            <w:vAlign w:val="bottom"/>
            <w:gridSpan w:val="2"/>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86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STOCKHOLDER MATTERS</w:t>
              </w:r>
            </w:hyperlink>
          </w:p>
        </w:tc>
        <w:tc>
          <w:tcPr>
            <w:tcW w:w="1140" w:type="dxa"/>
            <w:vAlign w:val="bottom"/>
            <w:gridSpan w:val="6"/>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EXECUTIVE COMPENSATION</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2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FINANCIAL STATEMENTS</w:t>
              </w:r>
            </w:hyperlink>
          </w:p>
        </w:tc>
        <w:tc>
          <w:tcPr>
            <w:tcW w:w="260" w:type="dxa"/>
            <w:vAlign w:val="bottom"/>
            <w:tcBorders>
              <w:top w:val="single" w:sz="8" w:color="0000EE"/>
            </w:tcBorders>
            <w:gridSpan w:val="4"/>
          </w:tcPr>
          <w:p>
            <w:pPr>
              <w:spacing w:after="0"/>
              <w:rPr>
                <w:sz w:val="17"/>
                <w:szCs w:val="17"/>
                <w:color w:val="auto"/>
              </w:rPr>
            </w:pPr>
          </w:p>
        </w:tc>
        <w:tc>
          <w:tcPr>
            <w:tcW w:w="2720" w:type="dxa"/>
            <w:vAlign w:val="bottom"/>
            <w:gridSpan w:val="1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CHANGES IN AND DISAGREEMENTS WITH ACCOUNTANTS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AVAILABLE INFORMATION</w:t>
              </w:r>
            </w:hyperlink>
          </w:p>
        </w:tc>
        <w:tc>
          <w:tcPr>
            <w:tcW w:w="34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426"/>
        </w:trPr>
        <w:tc>
          <w:tcPr>
            <w:tcW w:w="286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28"/>
        </w:trPr>
        <w:tc>
          <w:tcPr>
            <w:tcW w:w="6080" w:type="dxa"/>
            <w:vAlign w:val="bottom"/>
            <w:gridSpan w:val="15"/>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Securities and Exchange Commission, or the SEC. Under this registration process, the selling shareholders may, from time to time, offer and sell up to 9,137,472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7 of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consumer support website, www.OPTIMIZERx.com and our subscriber base exceeding 2.5 million patients, continues to grow each month and we believe is quickly becoming the preferred way to access branded prescription vouchers, co-pay savings and other support programs.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March 2014 Private Placement Financing and Exercise of Redemption 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used the net proceeds of the March 2014 Private Placement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 The balance of the net proceeds will be used for working capital purposes.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March 2014 Private Placement, we entered into a registration rights agreement with the Purchasers (the “Registration Rights Agreement”), pursuant to which we agreed to register for resale the Common Shares acquired by the Purchasers (the “Registrable Securities”).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March 2014 Private Placement and to use our reasonable best efforts to cause the Registration Statement to be declared effective as soon as practicable after the filing thereof, but in any event no later than 90 days following the close of the March 2014 Private Placement (or 120 days following the close of the March 2014 Private Placement if the SEC determines to review the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the Registration Statement, among other things, (i) has not been filed by 30 days following the close of the March 2014 Private Placement,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we have agreed to make payments to each Purchaser as liquidated damages in an amount equal to 1.0% of the aggregate amount invested by each such Purchaser per 30-day period, up to a maximum aggregate liquidated damages amount equal to 6% of the aggregate amount invested by each such Purchaser. In addition, we have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420"/>
          </w:cols>
          <w:pgMar w:left="240" w:top="229"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the Selling Shareholders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9,137,472 shares of common stock, consisting of 8,333,333 Common Shares and Agent Warrants to purchase up to 804,139 shares of the our common stock.</w:t>
      </w:r>
    </w:p>
    <w:p>
      <w:pPr>
        <w:spacing w:after="0" w:line="157" w:lineRule="exact"/>
        <w:rPr>
          <w:sz w:val="20"/>
          <w:szCs w:val="20"/>
          <w:color w:val="auto"/>
        </w:rPr>
      </w:pPr>
    </w:p>
    <w:p>
      <w:pPr>
        <w:sectPr>
          <w:pgSz w:w="11900" w:h="16838" w:orient="portrait"/>
          <w:cols w:equalWidth="0" w:num="2">
            <w:col w:w="3700" w:space="640"/>
            <w:col w:w="7080"/>
          </w:cols>
          <w:pgMar w:left="240" w:top="229"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Selling Shareholders</w:t>
      </w:r>
      <w:r>
        <w:rPr>
          <w:rFonts w:ascii="Times New Roman" w:cs="Times New Roman" w:eastAsia="Times New Roman" w:hAnsi="Times New Roman"/>
          <w:sz w:val="17"/>
          <w:szCs w:val="17"/>
          <w:color w:val="auto"/>
        </w:rPr>
        <w:t xml:space="preserve">” beginning on page 12 </w:t>
      </w:r>
      <w:r>
        <w:rPr>
          <w:rFonts w:ascii="Arial" w:cs="Arial" w:eastAsia="Arial" w:hAnsi="Arial"/>
          <w:sz w:val="17"/>
          <w:szCs w:val="17"/>
          <w:color w:val="auto"/>
        </w:rPr>
        <w:t>.</w:t>
      </w:r>
    </w:p>
    <w:p>
      <w:pPr>
        <w:spacing w:after="0" w:line="215" w:lineRule="exact"/>
        <w:rPr>
          <w:sz w:val="20"/>
          <w:szCs w:val="20"/>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outstanding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23,412,113 common shares as of May 20, 2014.</w:t>
      </w:r>
    </w:p>
    <w:p>
      <w:pPr>
        <w:spacing w:after="0" w:line="200" w:lineRule="exact"/>
        <w:rPr>
          <w:sz w:val="20"/>
          <w:szCs w:val="20"/>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or other disposition of the shares of common stock covered by this prospectus. However,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12 .</w:t>
      </w:r>
    </w:p>
    <w:p>
      <w:pPr>
        <w:spacing w:after="0" w:line="189" w:lineRule="exact"/>
        <w:rPr>
          <w:sz w:val="20"/>
          <w:szCs w:val="20"/>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OTC Bulletin Board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Our Common Stock is quoted on the OTC Bulletin Board under the ticker symbol “OPRX”.</w:t>
      </w:r>
    </w:p>
    <w:p>
      <w:pPr>
        <w:spacing w:after="0" w:line="200" w:lineRule="exact"/>
        <w:rPr>
          <w:sz w:val="20"/>
          <w:szCs w:val="20"/>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You should consider the matters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7 , as well as other cautionary statements throughout or incorporated by reference in this prospectus, before deciding to invest in shares of our common stock.</w:t>
      </w:r>
    </w:p>
    <w:p>
      <w:pPr>
        <w:spacing w:after="0" w:line="172" w:lineRule="exact"/>
        <w:rPr>
          <w:sz w:val="20"/>
          <w:szCs w:val="20"/>
          <w:color w:val="auto"/>
        </w:rPr>
      </w:pPr>
    </w:p>
    <w:p>
      <w:pPr>
        <w:sectPr>
          <w:pgSz w:w="11900" w:h="16838" w:orient="portrait"/>
          <w:cols w:equalWidth="0" w:num="2">
            <w:col w:w="3620" w:space="720"/>
            <w:col w:w="70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40" w:type="dxa"/>
            <w:vAlign w:val="bottom"/>
            <w:gridSpan w:val="1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Summary Financial Information</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March 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64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Balance Sheet Data</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4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CC"/>
          </w:tcPr>
          <w:p>
            <w:pPr>
              <w:spacing w:after="0"/>
              <w:rPr>
                <w:sz w:val="18"/>
                <w:szCs w:val="18"/>
                <w:color w:val="auto"/>
              </w:rPr>
            </w:pPr>
          </w:p>
        </w:tc>
        <w:tc>
          <w:tcPr>
            <w:tcW w:w="80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7"/>
              </w:rPr>
              <w:t>1,118,243</w:t>
            </w: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4,030,730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4,008,020</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6,515,322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CC"/>
          </w:tcPr>
          <w:p>
            <w:pPr>
              <w:spacing w:after="0"/>
              <w:rPr>
                <w:sz w:val="18"/>
                <w:szCs w:val="18"/>
                <w:color w:val="auto"/>
              </w:rPr>
            </w:pPr>
          </w:p>
        </w:tc>
        <w:tc>
          <w:tcPr>
            <w:tcW w:w="80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1,968,652</w:t>
            </w:r>
          </w:p>
        </w:tc>
        <w:tc>
          <w:tcPr>
            <w:tcW w:w="60" w:type="dxa"/>
            <w:vAlign w:val="bottom"/>
            <w:shd w:val="clear" w:color="auto" w:fill="CCEECC"/>
          </w:tcPr>
          <w:p>
            <w:pPr>
              <w:spacing w:after="0"/>
              <w:rPr>
                <w:sz w:val="18"/>
                <w:szCs w:val="18"/>
                <w:color w:val="auto"/>
              </w:rPr>
            </w:pPr>
          </w:p>
        </w:tc>
        <w:tc>
          <w:tcPr>
            <w:tcW w:w="1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1,912,659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8"/>
        </w:trPr>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Total Stockholders’ 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4"/>
        </w:trPr>
        <w:tc>
          <w:tcPr>
            <w:tcW w:w="2300" w:type="dxa"/>
            <w:vAlign w:val="bottom"/>
          </w:tcPr>
          <w:p>
            <w:pPr>
              <w:spacing w:after="0"/>
              <w:rPr>
                <w:sz w:val="20"/>
                <w:szCs w:val="20"/>
                <w:color w:val="auto"/>
              </w:rPr>
            </w:pPr>
          </w:p>
        </w:tc>
        <w:tc>
          <w:tcPr>
            <w:tcW w:w="21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(Deficit)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2,039,368</w:t>
            </w: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4,602,663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For the</w:t>
            </w:r>
          </w:p>
        </w:tc>
        <w:tc>
          <w:tcPr>
            <w:tcW w:w="100" w:type="dxa"/>
            <w:vAlign w:val="bottom"/>
          </w:tcPr>
          <w:p>
            <w:pPr>
              <w:spacing w:after="0"/>
              <w:rPr>
                <w:sz w:val="24"/>
                <w:szCs w:val="2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For the</w:t>
            </w:r>
          </w:p>
        </w:tc>
        <w:tc>
          <w:tcPr>
            <w:tcW w:w="22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Three</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For the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For the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ended</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March 31,</w:t>
            </w:r>
          </w:p>
        </w:tc>
        <w:tc>
          <w:tcPr>
            <w:tcW w:w="2280" w:type="dxa"/>
            <w:vAlign w:val="bottom"/>
          </w:tcPr>
          <w:p>
            <w:pPr>
              <w:spacing w:after="0"/>
              <w:rPr>
                <w:sz w:val="18"/>
                <w:szCs w:val="18"/>
                <w:color w:val="auto"/>
              </w:rPr>
            </w:pPr>
          </w:p>
        </w:tc>
      </w:tr>
      <w:tr>
        <w:trPr>
          <w:trHeight w:val="234"/>
        </w:trPr>
        <w:tc>
          <w:tcPr>
            <w:tcW w:w="442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Statement of Operations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31, 2013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31, 2012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120" w:type="dxa"/>
            <w:vAlign w:val="bottom"/>
            <w:tcBorders>
              <w:top w:val="single" w:sz="8" w:color="CCEECC"/>
            </w:tcBorders>
            <w:gridSpan w:val="2"/>
            <w:shd w:val="clear" w:color="auto" w:fill="CCEEC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4,957,016</w:t>
            </w:r>
          </w:p>
        </w:tc>
        <w:tc>
          <w:tcPr>
            <w:tcW w:w="40" w:type="dxa"/>
            <w:vAlign w:val="bottom"/>
            <w:tcBorders>
              <w:top w:val="single" w:sz="8" w:color="auto"/>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1,989,086</w:t>
            </w:r>
          </w:p>
        </w:tc>
        <w:tc>
          <w:tcPr>
            <w:tcW w:w="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1,317,347</w:t>
            </w:r>
          </w:p>
        </w:tc>
        <w:tc>
          <w:tcPr>
            <w:tcW w:w="40" w:type="dxa"/>
            <w:vAlign w:val="bottom"/>
            <w:tcBorders>
              <w:top w:val="single" w:sz="8" w:color="auto"/>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669,290</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for the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215,847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(653,315)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(224,438)</w:t>
            </w:r>
          </w:p>
        </w:tc>
        <w:tc>
          <w:tcPr>
            <w:tcW w:w="2280" w:type="dxa"/>
            <w:vAlign w:val="bottom"/>
          </w:tcPr>
          <w:p>
            <w:pPr>
              <w:spacing w:after="0"/>
              <w:rPr>
                <w:sz w:val="20"/>
                <w:szCs w:val="20"/>
                <w:color w:val="auto"/>
              </w:rPr>
            </w:pPr>
          </w:p>
        </w:tc>
      </w:tr>
      <w:tr>
        <w:trPr>
          <w:trHeight w:val="414"/>
        </w:trPr>
        <w:tc>
          <w:tcPr>
            <w:tcW w:w="2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historically experienced losses and only recently experienced profits, if we are unable to achieve profitability, our financial condition and company could suffer.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inception of our business we have historically incurred losses. We have only recently experienced profits and increased revenues. Our ability to maintain profitability depends on our ability to generate sales through our technology platform and advertising model while maintaining reasonable expense levels. If we do not achieve sustainable profitability, we may not be able to continue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recently learned that our financial statements have errors regarding revenue share expenses, our results of operations may be different than disclosed in our financial statements.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recently announced a needed adjustment to the accounting policy so that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 We have disclosed the restated numbers in our annual report on Form 10-K and will do so for subsequent filings. As such, the financial numbers will be adjusted in our ongoing SEC filings and the results of operations may differ from what we have disclosed.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may suffer if we are unable to attract and retain key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the expertise and continued service of our Chief Executive Officer, David Harrell, our Chief Operating Officer, David Lester, and certain other key technical personnel. It may be difficult to find a sufficiently qualified individual to replace management or other key technical personnel in the event of death, disability or resignation, resulting in our being unable to implement our business plan and we having no operations or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it will be able to attract competent employees, but no assurance can be given that we will be successful in this regard. If we are unable to engage and retain the necessary personnel, its business may be materially and adversely affected.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retain or attract additional customers could prevent us from successfully executing our business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work with many leading pharmaceutical companies, including Pfizer, Lilly and Novartis. Our failure to retain existing customers or expand with additional customers could harmfully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support our technology to further scale our operations successfully.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our business will suffer.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reliant upon our contracts with leading electronic prescribing platforms, including Allscripts and DrFirst. We will need to maintain these relationships as well as diversify them. The inability to do so could adversely impact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adhere to the regulatory and competitive climate in which we operate, we could be materially and negatively impacted.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 to the labyrinth of regulations in healthcare space, state and federal, as well as political sensitivity of healthcare delivery the proposed business model could be negatively impacted or fail.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1160" w:hanging="571"/>
        <w:spacing w:after="0" w:line="254"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jc w:val="both"/>
        <w:ind w:left="1160" w:hanging="571"/>
        <w:spacing w:after="0" w:line="255"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healthcare industry could adversely affect our 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1160" w:hanging="571"/>
        <w:spacing w:after="0" w:line="261"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ind w:left="1160" w:hanging="571"/>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9"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governmental funding for healthcare; and</w:t>
      </w:r>
    </w:p>
    <w:p>
      <w:pPr>
        <w:spacing w:after="0" w:line="9" w:lineRule="exact"/>
        <w:rPr>
          <w:rFonts w:ascii="Times New Roman" w:cs="Times New Roman" w:eastAsia="Times New Roman" w:hAnsi="Times New Roman"/>
          <w:sz w:val="18"/>
          <w:szCs w:val="18"/>
          <w:color w:val="auto"/>
        </w:rPr>
      </w:pPr>
    </w:p>
    <w:p>
      <w:pPr>
        <w:ind w:left="1160" w:hanging="571"/>
        <w:spacing w:after="0" w:line="261"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payers or providers, pharmaceutical, biotechnology or medical device companies or other healthcare industry participants.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62" w:lineRule="exact"/>
        <w:rPr>
          <w:sz w:val="20"/>
          <w:szCs w:val="20"/>
          <w:color w:val="auto"/>
        </w:rPr>
      </w:pPr>
    </w:p>
    <w:p>
      <w:pPr>
        <w:ind w:left="1160" w:hanging="571"/>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design of health insurance plans;</w:t>
      </w:r>
    </w:p>
    <w:p>
      <w:pPr>
        <w:spacing w:after="0" w:line="27"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new drugs or medical devices coming to market; and</w:t>
      </w:r>
    </w:p>
    <w:p>
      <w:pPr>
        <w:spacing w:after="0" w:line="9" w:lineRule="exact"/>
        <w:rPr>
          <w:rFonts w:ascii="Times New Roman" w:cs="Times New Roman" w:eastAsia="Times New Roman" w:hAnsi="Times New Roman"/>
          <w:sz w:val="18"/>
          <w:szCs w:val="18"/>
          <w:color w:val="auto"/>
        </w:rPr>
      </w:pPr>
    </w:p>
    <w:p>
      <w:pPr>
        <w:ind w:left="1160" w:hanging="571"/>
        <w:spacing w:after="0" w:line="261"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embroiled in various lawsuits with uncertain consequences, the outcome of potential judgments may negatively affect our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involved in the following lawsuits.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and the matter is currently being litigated in federal court in Detroit, Michigan.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7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lawsuits are ongoing, uncertain and involve a substantial degree of risk. If we are unable to successfully defend these actions, our financial condition and results of operations will suffer.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our network systems fail or become unavailable.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our operations could be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ectPr>
          <w:pgSz w:w="11900" w:h="16838" w:orient="portrait"/>
          <w:cols w:equalWidth="0" w:num="1">
            <w:col w:w="11420"/>
          </w:cols>
          <w:pgMar w:left="240" w:top="22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market for our common stock does not develop, shareholders may be unable to sell their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be subject to the “Penny Stock” rules once our shares are quoted on the over-the-counter bulletin board, the level of trading activity in our stock may be reduced.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Any return on investment may be limited to the value of our common stock.</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Shareholders will determine at what price they may sell the offered shares, and such sales may be made at prevailing market prices, or at privately negotiated prices.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this prospectus to allow the Selling Shareholders or their successors, assignees or other permitted transferees to sell or otherwise dispose of, from time to time, up to 9,137,472 shares of our Common Stock. Of the shares of common stock being offered under this prospectus 8,333,333 were acquired by the purchasers in our March 2014 Private Placement and 804,139 shares are able to be acquired pursuant to the Agent Warrants we issued in connection with our March 2014 Private Placement, which Agent Warrants are currently exercisable.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sold to the Selling Shareholders in the March 2014 Private Placement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23,412,113 shares of Common Stock issued and outstanding as of May 20, 2014. Beneficial ownership is determined under Section 13(d) of the Exchange Act and generally includes voting or investment power with respect to securities and including any securities that grant the Selling Shareholders the right to acquire Common Stock within 60 days of May 20, 2014. Unless otherwise noted, each person or group identified possesses sole voting and investment power with respect to the shares, subject to community property laws where applicable.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4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tcPr>
          <w:p>
            <w:pPr>
              <w:spacing w:after="0"/>
              <w:rPr>
                <w:sz w:val="16"/>
                <w:szCs w:val="16"/>
                <w:color w:val="auto"/>
              </w:rPr>
            </w:pPr>
          </w:p>
        </w:tc>
        <w:tc>
          <w:tcPr>
            <w:tcW w:w="1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Outstanding</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Sale of all</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Sale of all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After the Sale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covered by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Covered by</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Shares covered byShares covered by</w:t>
            </w:r>
          </w:p>
        </w:tc>
      </w:tr>
      <w:tr>
        <w:trPr>
          <w:trHeight w:val="23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Goldman Partners L.P.(1)</w:t>
            </w:r>
          </w:p>
        </w:tc>
        <w:tc>
          <w:tcPr>
            <w:tcW w:w="1420" w:type="dxa"/>
            <w:vAlign w:val="bottom"/>
            <w:tcBorders>
              <w:top w:val="single" w:sz="8" w:color="auto"/>
            </w:tcBorders>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833,333</w:t>
            </w:r>
          </w:p>
        </w:tc>
        <w:tc>
          <w:tcPr>
            <w:tcW w:w="116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833,333</w:t>
            </w:r>
          </w:p>
        </w:tc>
        <w:tc>
          <w:tcPr>
            <w:tcW w:w="136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Capital Ventures International(2)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w w:val="98"/>
              </w:rPr>
              <w:t>Michael Patrick Torok &amp; Sara Coleen Torok JT TEN</w:t>
            </w:r>
          </w:p>
        </w:tc>
        <w:tc>
          <w:tcPr>
            <w:tcW w:w="14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420,000</w:t>
            </w:r>
          </w:p>
        </w:tc>
        <w:tc>
          <w:tcPr>
            <w:tcW w:w="11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420,000</w:t>
            </w:r>
          </w:p>
        </w:tc>
        <w:tc>
          <w:tcPr>
            <w:tcW w:w="13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Michael W. Taglich</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208,333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208,333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Harvey L. Poppel IRA</w:t>
            </w:r>
          </w:p>
        </w:tc>
        <w:tc>
          <w:tcPr>
            <w:tcW w:w="14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521,500</w:t>
            </w:r>
          </w:p>
        </w:tc>
        <w:tc>
          <w:tcPr>
            <w:tcW w:w="11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521,500</w:t>
            </w:r>
          </w:p>
        </w:tc>
        <w:tc>
          <w:tcPr>
            <w:tcW w:w="13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Bradley Louis Radoff</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3,250,000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3,250,000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Richard Smithline</w:t>
            </w:r>
          </w:p>
        </w:tc>
        <w:tc>
          <w:tcPr>
            <w:tcW w:w="14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208,333</w:t>
            </w:r>
          </w:p>
        </w:tc>
        <w:tc>
          <w:tcPr>
            <w:tcW w:w="11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208,333</w:t>
            </w:r>
          </w:p>
        </w:tc>
        <w:tc>
          <w:tcPr>
            <w:tcW w:w="13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Wolverine Flagship Fund Trading Limited(3)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2,083,500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2,083,500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Robert F. Taglich</w:t>
            </w:r>
          </w:p>
        </w:tc>
        <w:tc>
          <w:tcPr>
            <w:tcW w:w="14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208,333</w:t>
            </w:r>
          </w:p>
        </w:tc>
        <w:tc>
          <w:tcPr>
            <w:tcW w:w="11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208,333</w:t>
            </w:r>
          </w:p>
        </w:tc>
        <w:tc>
          <w:tcPr>
            <w:tcW w:w="13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Merriman Capital, Inc.(4)</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591,613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591,613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Taglich Brothers, Inc.(5)</w:t>
            </w:r>
          </w:p>
        </w:tc>
        <w:tc>
          <w:tcPr>
            <w:tcW w:w="14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212,526</w:t>
            </w:r>
          </w:p>
        </w:tc>
        <w:tc>
          <w:tcPr>
            <w:tcW w:w="11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212,526</w:t>
            </w:r>
          </w:p>
        </w:tc>
        <w:tc>
          <w:tcPr>
            <w:tcW w:w="13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ind w:left="660" w:right="4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Goldman Partners L.P. is the record and direct beneficial owner of the shares of common stock. Neal Goldman, as General Partner of Goldman Partners, L.P., has voting and disposition power of the shares owned by Goldman Partners, L.P.</w:t>
      </w:r>
    </w:p>
    <w:p>
      <w:pPr>
        <w:ind w:left="660" w:right="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the authorized agent of Capital Ventures International, has discretionary authority to vote and dispose of the shares held by Capital Ventures International. Martin Kobinger, in his capacity as Investment Manager of Heights Capital Management, Inc., also has investment discretion and voting power over the shares held by Capital Ventures International. As a result, each of Heights Capital Management, Inc. and Mr. Kobinger may be deemed to have beneficial ownership of the securities held by Capital Ventures International that are covered hereunder. Mr. Kobinger disclaims any such beneficial ownership of such securities.</w:t>
      </w:r>
    </w:p>
    <w:p>
      <w:pPr>
        <w:spacing w:after="0" w:line="2"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Wolverine Asset Management, LLC (“WAM”) is the investment manager of Wolverine Flagship Fund Trading Limited (the “Fund”) and consequently has voting and investment power over these securities. The sole member and manager of WAM is Wolverine Holdings, L.P. (“Wolverine Holdings”). Robert R. Bellick and Christopher L. Gust are deemed to control Wolverine Trading Partners, Inc. (“WTP”), the general partner of Wolverine Holdings, and therefore may be deemed to share voting and dispositive power over these securities. Each of Mr. Bellick, Mr. Gust, WTP, Wolverine Holdings, and WAM disclaims beneficial ownership of the shares held by the Fund.</w:t>
      </w:r>
    </w:p>
    <w:p>
      <w:pPr>
        <w:spacing w:after="0" w:line="2"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received as our placement agent in our March 2014 Private Placement. Merriman Capital, Inc. is a registered broker-dealer that served as the placement agent in connection with our March 2014 Private Placement. Jon Merriman is the CEO of Merriman Capital, Inc. and an affiliate of a registered-broker-dealer. Mr. Merriman has voting and dispositive power with respect to the warrants.</w:t>
      </w:r>
    </w:p>
    <w:p>
      <w:pPr>
        <w:spacing w:after="0" w:line="1" w:lineRule="exact"/>
        <w:rPr>
          <w:rFonts w:ascii="Times New Roman" w:cs="Times New Roman" w:eastAsia="Times New Roman" w:hAnsi="Times New Roman"/>
          <w:sz w:val="18"/>
          <w:szCs w:val="18"/>
          <w:color w:val="auto"/>
        </w:rPr>
      </w:pPr>
    </w:p>
    <w:p>
      <w:pPr>
        <w:ind w:left="660" w:right="180" w:hanging="328"/>
        <w:spacing w:after="0" w:line="277"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the Selling Shareholders may change from time to time. Any changed information with respect to which we are given notice will be included in prospectus supplements.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Shareholders to sell a specified number of such securities at a stipulated price per security;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Shareholders may also sell securities under Rule 144 under the Securities Act of 1933, as amended (the “Securities Act”), if available, rather than under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6, 2013, we filed a Complaint for Patent Infringement against Physicians Interactive Inc., Physicians Interactive Holdings, 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names, ages, and positions of our current directors and executive officers as of May 20, 2014.</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238"/>
        </w:trPr>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191"/>
        </w:trPr>
        <w:tc>
          <w:tcPr>
            <w:tcW w:w="11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8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3580" w:type="dxa"/>
            <w:vAlign w:val="bottom"/>
            <w:tcBorders>
              <w:top w:val="single" w:sz="8" w:color="auto"/>
            </w:tcBorders>
            <w:shd w:val="clear" w:color="auto" w:fill="CCEECC"/>
          </w:tcPr>
          <w:p>
            <w:pPr>
              <w:ind w:left="80"/>
              <w:spacing w:after="0" w:line="191" w:lineRule="exact"/>
              <w:rPr>
                <w:sz w:val="20"/>
                <w:szCs w:val="20"/>
                <w:color w:val="auto"/>
              </w:rPr>
            </w:pPr>
            <w:r>
              <w:rPr>
                <w:rFonts w:ascii="Times New Roman" w:cs="Times New Roman" w:eastAsia="Times New Roman" w:hAnsi="Times New Roman"/>
                <w:sz w:val="18"/>
                <w:szCs w:val="18"/>
                <w:color w:val="auto"/>
              </w:rPr>
              <w:t>Chief Operating Officer, Secretary, Treasurer</w:t>
            </w:r>
          </w:p>
        </w:tc>
      </w:tr>
      <w:tr>
        <w:trPr>
          <w:trHeight w:val="234"/>
        </w:trPr>
        <w:tc>
          <w:tcPr>
            <w:tcW w:w="11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David Lester</w:t>
            </w:r>
          </w:p>
        </w:tc>
        <w:tc>
          <w:tcPr>
            <w:tcW w:w="9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and Director</w:t>
            </w:r>
          </w:p>
        </w:tc>
      </w:tr>
      <w:tr>
        <w:trPr>
          <w:trHeight w:val="198"/>
        </w:trPr>
        <w:tc>
          <w:tcPr>
            <w:tcW w:w="11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David A.</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Chairman, Chief Executive Officer, Chief</w:t>
            </w:r>
          </w:p>
        </w:tc>
      </w:tr>
      <w:tr>
        <w:trPr>
          <w:trHeight w:val="234"/>
        </w:trPr>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Harrell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Strategic Officer and Director</w:t>
            </w:r>
          </w:p>
        </w:tc>
      </w:tr>
      <w:tr>
        <w:trPr>
          <w:trHeight w:val="198"/>
        </w:trPr>
        <w:tc>
          <w:tcPr>
            <w:tcW w:w="1140" w:type="dxa"/>
            <w:vAlign w:val="bottom"/>
            <w:shd w:val="clear" w:color="auto" w:fill="CCEECC"/>
          </w:tcPr>
          <w:p>
            <w:pPr>
              <w:ind w:left="80"/>
              <w:spacing w:after="0" w:line="198" w:lineRule="exact"/>
              <w:rPr>
                <w:sz w:val="20"/>
                <w:szCs w:val="20"/>
                <w:color w:val="auto"/>
              </w:rPr>
            </w:pPr>
            <w:r>
              <w:rPr>
                <w:rFonts w:ascii="Times New Roman" w:cs="Times New Roman" w:eastAsia="Times New Roman" w:hAnsi="Times New Roman"/>
                <w:sz w:val="18"/>
                <w:szCs w:val="18"/>
                <w:color w:val="auto"/>
              </w:rPr>
              <w:t>Terence J.</w:t>
            </w: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4"/>
        </w:trPr>
        <w:tc>
          <w:tcPr>
            <w:tcW w:w="11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Hamilton</w:t>
            </w:r>
          </w:p>
        </w:tc>
        <w:tc>
          <w:tcPr>
            <w:tcW w:w="920" w:type="dxa"/>
            <w:vAlign w:val="bottom"/>
            <w:gridSpan w:val="2"/>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Director and VP of Sales</w:t>
            </w:r>
          </w:p>
        </w:tc>
      </w:tr>
      <w:tr>
        <w:trPr>
          <w:trHeight w:val="198"/>
        </w:trPr>
        <w:tc>
          <w:tcPr>
            <w:tcW w:w="1140" w:type="dxa"/>
            <w:vAlign w:val="bottom"/>
            <w:shd w:val="clear" w:color="auto" w:fill="CCEECC"/>
          </w:tcPr>
          <w:p>
            <w:pPr>
              <w:ind w:left="80"/>
              <w:spacing w:after="0" w:line="198" w:lineRule="exact"/>
              <w:rPr>
                <w:sz w:val="20"/>
                <w:szCs w:val="20"/>
                <w:color w:val="auto"/>
              </w:rPr>
            </w:pPr>
            <w:r>
              <w:rPr>
                <w:rFonts w:ascii="Times New Roman" w:cs="Times New Roman" w:eastAsia="Times New Roman" w:hAnsi="Times New Roman"/>
                <w:sz w:val="18"/>
                <w:szCs w:val="18"/>
                <w:color w:val="auto"/>
              </w:rPr>
              <w:t>Douglas</w:t>
            </w: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4"/>
        </w:trPr>
        <w:tc>
          <w:tcPr>
            <w:tcW w:w="11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Baker</w:t>
            </w:r>
          </w:p>
        </w:tc>
        <w:tc>
          <w:tcPr>
            <w:tcW w:w="920" w:type="dxa"/>
            <w:vAlign w:val="bottom"/>
            <w:gridSpan w:val="2"/>
            <w:shd w:val="clear" w:color="auto" w:fill="CCEECC"/>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Lester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A. Harrell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ectPr>
          <w:pgSz w:w="11900" w:h="16838" w:orient="portrait"/>
          <w:cols w:equalWidth="0" w:num="1">
            <w:col w:w="11420"/>
          </w:cols>
          <w:pgMar w:left="240" w:top="229"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Terence J. Hamilton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Baker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Baker joined the Company as its CFO on May 19, 2014. Mr. Baker brings with him over 23 years of public company experience. He served as CFO and director of Applied Nanotech Holdings, Inc., a public company, from 1996 to 2014, and as CEO of the same company from 2009 to 2014. Mr. Baker has agreed to act as a consultant to Nanotech for a period of up to one year on an as needed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Baker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authorize two (2) directors unless changed by the Board of Directors. The board has since changed the number of directors authorized, and we currently have three (3)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the directors, executive officers or persons nominated or chosen by us to become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best of our knowledge, during the past ten years, none of the following occurred with respect to our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May 20, 2014,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pacing w:after="0" w:line="172"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 of</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1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beneficial</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120" w:type="dxa"/>
            <w:vAlign w:val="bottom"/>
            <w:tcBorders>
              <w:bottom w:val="single" w:sz="8" w:color="CCEECC"/>
            </w:tcBorders>
          </w:tcPr>
          <w:p>
            <w:pPr>
              <w:spacing w:after="0"/>
              <w:rPr>
                <w:sz w:val="23"/>
                <w:szCs w:val="23"/>
                <w:color w:val="auto"/>
              </w:rPr>
            </w:pPr>
          </w:p>
        </w:tc>
        <w:tc>
          <w:tcPr>
            <w:tcW w:w="1780" w:type="dxa"/>
            <w:vAlign w:val="bottom"/>
            <w:tcBorders>
              <w:bottom w:val="single" w:sz="8" w:color="auto"/>
            </w:tcBorders>
          </w:tcPr>
          <w:p>
            <w:pPr>
              <w:spacing w:after="0" w:line="269" w:lineRule="exact"/>
              <w:rPr>
                <w:sz w:val="20"/>
                <w:szCs w:val="20"/>
                <w:color w:val="auto"/>
              </w:rPr>
            </w:pP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30"/>
                <w:szCs w:val="30"/>
                <w:b w:val="1"/>
                <w:bCs w:val="1"/>
                <w:color w:val="auto"/>
                <w:vertAlign w:val="superscript"/>
              </w:rPr>
              <w:t>(1)</w:t>
            </w:r>
          </w:p>
        </w:tc>
        <w:tc>
          <w:tcPr>
            <w:tcW w:w="200" w:type="dxa"/>
            <w:vAlign w:val="bottom"/>
            <w:tcBorders>
              <w:bottom w:val="single" w:sz="8" w:color="CCEECC"/>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0" w:type="dxa"/>
            <w:vAlign w:val="bottom"/>
            <w:tcBorders>
              <w:bottom w:val="single" w:sz="8" w:color="CCEECC"/>
            </w:tcBorders>
          </w:tcPr>
          <w:p>
            <w:pPr>
              <w:spacing w:after="0"/>
              <w:rPr>
                <w:sz w:val="23"/>
                <w:szCs w:val="23"/>
                <w:color w:val="auto"/>
              </w:rPr>
            </w:pPr>
          </w:p>
        </w:tc>
        <w:tc>
          <w:tcPr>
            <w:tcW w:w="940" w:type="dxa"/>
            <w:vAlign w:val="bottom"/>
            <w:tcBorders>
              <w:bottom w:val="single" w:sz="8" w:color="auto"/>
            </w:tcBorders>
          </w:tcPr>
          <w:p>
            <w:pPr>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class </w:t>
            </w:r>
            <w:r>
              <w:rPr>
                <w:rFonts w:ascii="Times New Roman" w:cs="Times New Roman" w:eastAsia="Times New Roman" w:hAnsi="Times New Roman"/>
                <w:sz w:val="30"/>
                <w:szCs w:val="30"/>
                <w:b w:val="1"/>
                <w:bCs w:val="1"/>
                <w:color w:val="auto"/>
                <w:vertAlign w:val="superscript"/>
              </w:rPr>
              <w:t>(2)</w:t>
            </w:r>
          </w:p>
        </w:tc>
        <w:tc>
          <w:tcPr>
            <w:tcW w:w="160" w:type="dxa"/>
            <w:vAlign w:val="bottom"/>
            <w:tcBorders>
              <w:bottom w:val="single" w:sz="8" w:color="CCEEC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shd w:val="clear" w:color="auto" w:fill="CCEECC"/>
          </w:tcPr>
          <w:p>
            <w:pPr>
              <w:spacing w:after="0"/>
              <w:rPr>
                <w:sz w:val="21"/>
                <w:szCs w:val="21"/>
                <w:color w:val="auto"/>
              </w:rPr>
            </w:pPr>
          </w:p>
        </w:tc>
        <w:tc>
          <w:tcPr>
            <w:tcW w:w="1780" w:type="dxa"/>
            <w:vAlign w:val="bottom"/>
            <w:shd w:val="clear" w:color="auto" w:fill="CCEECC"/>
          </w:tcPr>
          <w:p>
            <w:pPr>
              <w:spacing w:after="0" w:line="250" w:lineRule="exact"/>
              <w:rPr>
                <w:sz w:val="20"/>
                <w:szCs w:val="20"/>
                <w:color w:val="auto"/>
              </w:rPr>
            </w:pPr>
            <w:r>
              <w:rPr>
                <w:rFonts w:ascii="Times New Roman" w:cs="Times New Roman" w:eastAsia="Times New Roman" w:hAnsi="Times New Roman"/>
                <w:sz w:val="17"/>
                <w:szCs w:val="17"/>
                <w:color w:val="auto"/>
              </w:rPr>
              <w:t>David Lester</w:t>
            </w:r>
            <w:r>
              <w:rPr>
                <w:rFonts w:ascii="Times New Roman" w:cs="Times New Roman" w:eastAsia="Times New Roman" w:hAnsi="Times New Roman"/>
                <w:sz w:val="28"/>
                <w:szCs w:val="28"/>
                <w:color w:val="auto"/>
                <w:vertAlign w:val="superscript"/>
              </w:rPr>
              <w:t>(3)</w:t>
            </w:r>
          </w:p>
        </w:tc>
        <w:tc>
          <w:tcPr>
            <w:tcW w:w="200" w:type="dxa"/>
            <w:vAlign w:val="bottom"/>
            <w:shd w:val="clear" w:color="auto" w:fill="CCEECC"/>
          </w:tcPr>
          <w:p>
            <w:pPr>
              <w:spacing w:after="0"/>
              <w:rPr>
                <w:sz w:val="21"/>
                <w:szCs w:val="21"/>
                <w:color w:val="auto"/>
              </w:rPr>
            </w:pPr>
          </w:p>
        </w:tc>
        <w:tc>
          <w:tcPr>
            <w:tcW w:w="144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483,348</w:t>
            </w:r>
          </w:p>
        </w:tc>
        <w:tc>
          <w:tcPr>
            <w:tcW w:w="11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210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David Harrell</w:t>
            </w:r>
            <w:r>
              <w:rPr>
                <w:rFonts w:ascii="Times New Roman" w:cs="Times New Roman" w:eastAsia="Times New Roman" w:hAnsi="Times New Roman"/>
                <w:sz w:val="29"/>
                <w:szCs w:val="29"/>
                <w:color w:val="auto"/>
                <w:vertAlign w:val="superscript"/>
              </w:rPr>
              <w:t>(4)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3,177,187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7"/>
        </w:trPr>
        <w:tc>
          <w:tcPr>
            <w:tcW w:w="2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Common</w:t>
            </w:r>
          </w:p>
        </w:tc>
        <w:tc>
          <w:tcPr>
            <w:tcW w:w="2100" w:type="dxa"/>
            <w:vAlign w:val="bottom"/>
            <w:gridSpan w:val="3"/>
            <w:shd w:val="clear" w:color="auto" w:fill="CCEECC"/>
          </w:tcPr>
          <w:p>
            <w:pPr>
              <w:ind w:left="120"/>
              <w:spacing w:after="0" w:line="256" w:lineRule="exact"/>
              <w:rPr>
                <w:sz w:val="20"/>
                <w:szCs w:val="20"/>
                <w:color w:val="auto"/>
              </w:rPr>
            </w:pPr>
            <w:r>
              <w:rPr>
                <w:rFonts w:ascii="Times New Roman" w:cs="Times New Roman" w:eastAsia="Times New Roman" w:hAnsi="Times New Roman"/>
                <w:sz w:val="18"/>
                <w:szCs w:val="18"/>
                <w:color w:val="auto"/>
              </w:rPr>
              <w:t>Terence J. Hamilton</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749,812</w:t>
            </w:r>
          </w:p>
        </w:tc>
        <w:tc>
          <w:tcPr>
            <w:tcW w:w="11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Douglas Baker</w:t>
            </w:r>
          </w:p>
        </w:tc>
        <w:tc>
          <w:tcPr>
            <w:tcW w:w="144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C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of All Directors and</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4,410,347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4"/>
        </w:trPr>
        <w:tc>
          <w:tcPr>
            <w:tcW w:w="2200" w:type="dxa"/>
            <w:vAlign w:val="bottom"/>
            <w:shd w:val="clear" w:color="auto" w:fill="CCEE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More Than 5% Beneficial</w:t>
            </w:r>
          </w:p>
        </w:tc>
        <w:tc>
          <w:tcPr>
            <w:tcW w:w="120" w:type="dxa"/>
            <w:vAlign w:val="bottom"/>
            <w:shd w:val="clear" w:color="auto" w:fill="CCEECC"/>
          </w:tcPr>
          <w:p>
            <w:pPr>
              <w:spacing w:after="0"/>
              <w:rPr>
                <w:sz w:val="16"/>
                <w:szCs w:val="16"/>
                <w:color w:val="auto"/>
              </w:rPr>
            </w:pPr>
          </w:p>
        </w:tc>
        <w:tc>
          <w:tcPr>
            <w:tcW w:w="1780" w:type="dxa"/>
            <w:vAlign w:val="bottom"/>
            <w:shd w:val="clear" w:color="auto" w:fill="CCEECC"/>
          </w:tcPr>
          <w:p>
            <w:pPr>
              <w:spacing w:after="0"/>
              <w:rPr>
                <w:sz w:val="16"/>
                <w:szCs w:val="16"/>
                <w:color w:val="auto"/>
              </w:rPr>
            </w:pPr>
          </w:p>
        </w:tc>
        <w:tc>
          <w:tcPr>
            <w:tcW w:w="200" w:type="dxa"/>
            <w:vAlign w:val="bottom"/>
            <w:shd w:val="clear" w:color="auto" w:fill="CCEECC"/>
          </w:tcPr>
          <w:p>
            <w:pPr>
              <w:spacing w:after="0"/>
              <w:rPr>
                <w:sz w:val="16"/>
                <w:szCs w:val="16"/>
                <w:color w:val="auto"/>
              </w:rPr>
            </w:pPr>
          </w:p>
        </w:tc>
        <w:tc>
          <w:tcPr>
            <w:tcW w:w="1300" w:type="dxa"/>
            <w:vAlign w:val="bottom"/>
            <w:shd w:val="clear" w:color="auto" w:fill="CCEECC"/>
          </w:tcPr>
          <w:p>
            <w:pPr>
              <w:spacing w:after="0"/>
              <w:rPr>
                <w:sz w:val="16"/>
                <w:szCs w:val="16"/>
                <w:color w:val="auto"/>
              </w:rPr>
            </w:pPr>
          </w:p>
        </w:tc>
        <w:tc>
          <w:tcPr>
            <w:tcW w:w="140" w:type="dxa"/>
            <w:vAlign w:val="bottom"/>
            <w:shd w:val="clear" w:color="auto" w:fill="CCEECC"/>
          </w:tcPr>
          <w:p>
            <w:pPr>
              <w:spacing w:after="0"/>
              <w:rPr>
                <w:sz w:val="16"/>
                <w:szCs w:val="16"/>
                <w:color w:val="auto"/>
              </w:rPr>
            </w:pPr>
          </w:p>
        </w:tc>
        <w:tc>
          <w:tcPr>
            <w:tcW w:w="940" w:type="dxa"/>
            <w:vAlign w:val="bottom"/>
            <w:shd w:val="clear" w:color="auto" w:fill="CCEECC"/>
          </w:tcPr>
          <w:p>
            <w:pPr>
              <w:spacing w:after="0"/>
              <w:rPr>
                <w:sz w:val="16"/>
                <w:szCs w:val="16"/>
                <w:color w:val="auto"/>
              </w:rPr>
            </w:pPr>
          </w:p>
        </w:tc>
        <w:tc>
          <w:tcPr>
            <w:tcW w:w="16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Owners:</w:t>
            </w:r>
          </w:p>
        </w:tc>
        <w:tc>
          <w:tcPr>
            <w:tcW w:w="120" w:type="dxa"/>
            <w:vAlign w:val="bottom"/>
            <w:shd w:val="clear" w:color="auto" w:fill="CCEECC"/>
          </w:tcPr>
          <w:p>
            <w:pPr>
              <w:spacing w:after="0"/>
              <w:rPr>
                <w:sz w:val="20"/>
                <w:szCs w:val="20"/>
                <w:color w:val="auto"/>
              </w:rPr>
            </w:pPr>
          </w:p>
        </w:tc>
        <w:tc>
          <w:tcPr>
            <w:tcW w:w="178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3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21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Bradley Louis Radoff</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117 W Loop S, Ste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Houston, TX</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77027</w:t>
            </w: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3,250,000</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200" w:type="dxa"/>
            <w:vAlign w:val="bottom"/>
            <w:shd w:val="clear" w:color="auto" w:fill="CCEECC"/>
          </w:tcPr>
          <w:p>
            <w:pPr>
              <w:spacing w:after="0"/>
              <w:rPr>
                <w:sz w:val="17"/>
                <w:szCs w:val="17"/>
                <w:color w:val="auto"/>
              </w:rPr>
            </w:pPr>
          </w:p>
        </w:tc>
        <w:tc>
          <w:tcPr>
            <w:tcW w:w="2100" w:type="dxa"/>
            <w:vAlign w:val="bottom"/>
            <w:gridSpan w:val="3"/>
            <w:shd w:val="clear" w:color="auto" w:fill="CCEECC"/>
          </w:tcPr>
          <w:p>
            <w:pPr>
              <w:ind w:left="120"/>
              <w:spacing w:after="0" w:line="198" w:lineRule="exact"/>
              <w:rPr>
                <w:sz w:val="20"/>
                <w:szCs w:val="20"/>
                <w:color w:val="auto"/>
              </w:rPr>
            </w:pPr>
            <w:r>
              <w:rPr>
                <w:rFonts w:ascii="Times New Roman" w:cs="Times New Roman" w:eastAsia="Times New Roman" w:hAnsi="Times New Roman"/>
                <w:sz w:val="18"/>
                <w:szCs w:val="18"/>
                <w:color w:val="auto"/>
              </w:rPr>
              <w:t>Wolverine Flagship</w:t>
            </w: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Fund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Trading Limited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175 W Jackson Blvd,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3rd Flr</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Chicago, IL 60604</w:t>
            </w:r>
          </w:p>
        </w:tc>
        <w:tc>
          <w:tcPr>
            <w:tcW w:w="144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2,083,500</w:t>
            </w:r>
          </w:p>
        </w:tc>
        <w:tc>
          <w:tcPr>
            <w:tcW w:w="11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820" w:hanging="812"/>
        <w:spacing w:after="0" w:line="219" w:lineRule="auto"/>
        <w:tabs>
          <w:tab w:leader="none" w:pos="8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Times New Roman" w:cs="Times New Roman" w:eastAsia="Times New Roman" w:hAnsi="Times New Roman"/>
          <w:sz w:val="30"/>
          <w:szCs w:val="30"/>
          <w:color w:val="auto"/>
          <w:vertAlign w:val="superscript"/>
        </w:rPr>
      </w:pPr>
    </w:p>
    <w:p>
      <w:pPr>
        <w:ind w:left="820" w:hanging="812"/>
        <w:spacing w:after="0" w:line="180" w:lineRule="auto"/>
        <w:tabs>
          <w:tab w:leader="none" w:pos="82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percent of class is based on 23,412,113 voting shares as of May 20, 2014.</w:t>
      </w:r>
    </w:p>
    <w:p>
      <w:pPr>
        <w:spacing w:after="0" w:line="2" w:lineRule="exact"/>
        <w:rPr>
          <w:rFonts w:ascii="Times New Roman" w:cs="Times New Roman" w:eastAsia="Times New Roman" w:hAnsi="Times New Roman"/>
          <w:sz w:val="25"/>
          <w:szCs w:val="25"/>
          <w:color w:val="auto"/>
          <w:vertAlign w:val="superscript"/>
        </w:rPr>
      </w:pPr>
    </w:p>
    <w:p>
      <w:pPr>
        <w:ind w:left="820" w:hanging="812"/>
        <w:spacing w:after="0" w:line="186" w:lineRule="auto"/>
        <w:tabs>
          <w:tab w:leader="none" w:pos="8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Includes 428,348 shares held in his name and options to purchase 55,000 shares of common stock at $1.00 per share.</w:t>
      </w:r>
    </w:p>
    <w:p>
      <w:pPr>
        <w:spacing w:after="0" w:line="2" w:lineRule="exact"/>
        <w:rPr>
          <w:rFonts w:ascii="Times New Roman" w:cs="Times New Roman" w:eastAsia="Times New Roman" w:hAnsi="Times New Roman"/>
          <w:sz w:val="24"/>
          <w:szCs w:val="24"/>
          <w:color w:val="auto"/>
          <w:vertAlign w:val="superscript"/>
        </w:rPr>
      </w:pPr>
    </w:p>
    <w:p>
      <w:pPr>
        <w:ind w:left="820" w:hanging="812"/>
        <w:spacing w:after="0" w:line="187" w:lineRule="auto"/>
        <w:tabs>
          <w:tab w:leader="none" w:pos="8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2,774,687 shares held in his name, options to purchase 402,500 shares of common stock at prices ranging from of $1.00 to $1.81 per share.</w:t>
      </w:r>
    </w:p>
    <w:p>
      <w:pPr>
        <w:ind w:left="820" w:hanging="812"/>
        <w:spacing w:after="0" w:line="180" w:lineRule="auto"/>
        <w:tabs>
          <w:tab w:leader="none" w:pos="82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Includes 522,312 shares held in his name and options to purchase 227,500 shares of common stock at a price of $1.00 per share.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and 10,000,000 shares of preferred stock, par value $0.001 per share. As of May 20, 2014 there were 23,412,113 shares of our common stock issued and outstanding and 0 shares of our preferred stock issued and outstanding.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 which may be by distinguishing number, letter or title;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voting rights, in addition to the voting rights provided by law, and, if so, the terms of such voting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a sinking fund for the redemption or purchase of shares of that series, and, if so, the terms and amount of such sinking fund;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rights, preferences and limitations of that series.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March 2014 Private Placement, we entered into a registration rights agreement with each of the Selling Shareholders (the “Registration Rights Agreement”). The Registration Rights Agreement requires us to file a registration statement (the “Registration Statement”) with the Securities and Exchange Commission (the “SEC”) within forty-five (45) days of the closing date of the March 2014 Private Placement (the “Filing Date”) for the resale by the Selling Shareholders of all of the Common Shares acquired in the March 2014 Private Placement and all shares of Common Stock issuable upon any stock split, dividend or other distribution, recapitalization or similar event with respect thereto (the “Registrable Securities”). We agreed to use our commercially reasonable efforts to cause the Registration Statement to be declared effective by the SEC no later than ninety (90) days after the closing date of the March 2014 Private Placement (the “Effectiveness Date”) subject to certain adjustments. Upon the occurrence of certain events (each an “Event”), including, but not limited to, that the Registration Statement is not filed prior to the Filing Date, we will be required to pay liquidated damages to each of the Selling Shareholders equal to 1.5% of the aggregate purchase price paid by such Selling Shareholders for the Registrable Securities upon the date of the Event and then monthly thereafter until the earlier of: (i) the Event is cured, or (ii) the registrable shares are eligible for resale under Rule 144 without manner of sale or volume limitations. In no event shall the aggregate amount of liquidated damages payable to each of the Selling Shareholders exceed in the aggregate 10% of the aggregate purchase price paid by such Selling Shareholders for the Registrable Securities.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agreed to use our commercially reasonable efforts to keep the Registration Statement effective for resales until the earlier of (1) one year from the closing date (2) the date that all of the shares of our common stock included in the Registration Statement have been resold thereunder or under Rule 144 promulgated under the Securities Act, or (3) the date that all of the shares of our common stock covered by such registration statement may be sold without volume or manner of sale restrictions under Rule 144. The registration rights agreement contains cross-indemnification provisions between us and the Selling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warrants outstanding to purchase 13,658,334shares of our common stock at a weighted average exercise price of $2.44 as of December 31,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options outstanding to purchase 125,000 shares of our common stock at a weighted average exercise price of $1.00 as of December 31,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issued and do not have outstanding any securities convertible into shares of our common stock or any rights convertible or exchangeable into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Anti-Takeover Laws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currently traded on the OTC Bulletin Board under the trading symbol “OPRX.”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The transfer agent and registrar of our common stock is Empire Stock Transfer, 1859 Whitney Mesa Dr, Henderson, NV 89014, telephone: (702) 974-1444.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NAMED 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Cane Clark LLP, our independent legal counsel, has provided an opinion on the validity of our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Silberstein Ungar, PLLC, Certified Public Accountants and Advisors have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Highlights within 1st quarter 2014</w:t>
      </w:r>
    </w:p>
    <w:p>
      <w:pPr>
        <w:spacing w:after="0" w:line="229" w:lineRule="exact"/>
        <w:rPr>
          <w:sz w:val="20"/>
          <w:szCs w:val="20"/>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$10 million dollars in new capital to exercise the negotiated buyout of Vicis, which netted out an additional $3 million dollars to us, and a reduction of approximately 7 million in fully diluted shares.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nearly doubled our sales over 1Q 2013 and net cash provided by operating activities was a positive $226,727.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settled a lawsuit with LDM to enable promotional access to over 100,000 new healthcare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VoucherDVM and engaged leading platforms to offer automated vet product savings.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and launched the SampleMD 2.0 technology platform to support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proved an outstanding Return on Investment associated with our pharmaceutical promotions through an independent analytics firm.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sponsored and key noted the first CBInet Pharmaceutical EHR conference.</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initiated direct recruitment of a new CFO which resulted in the hiring of a highly experienced financial executive. We also recruited the former global marketing director from AstraZeneca to lead sales on the east coast.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finished the first quarter with revenues of $1,317,347, an increase of 97% over the same period 2013 generating positive net cash of $226,727 from operational activities. However, we had a net loss of $653,315 for the first quarter primarily due to two factors: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settlement to LDM, which resolved all patent issues and enables us to promote our eCoupons to their network of up to 100,000 healthcare providers, as well as receive additional revenue share through promotion of their sponsored patient education within OptimizeRx’s network.</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 cash payment of stock to vendors, former executive and employees.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Moving forward, we expect growing profitability for the remainder of 2014 based primarily on escalation of revenues. Despite nearly doubling our sales over 1Q 2013, which is generally a slower sales quarter based on finalizing budgets and receiving new annual assets, 1Q 2014 revenues would have been higher based on two important factors:</w:t>
      </w:r>
    </w:p>
    <w:p>
      <w:pPr>
        <w:spacing w:after="0" w:line="176"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Allscripts had privacy and technical issues that affected their distribution of eCoupons and other programs during a significant period of time it took to fully resolve them.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largest clients interrupted their program to determine promotional impact and ROI.</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of the above have been resolved. Allscripts has resolved their technical and privacy issues, and is now beginning to roll out activation of SampleMD eCoupon automation unless providers “opt-out.” We anticipate this to have a significant impact on June sales and beyond once this is completed by increasing our reach to another 20,000 physicians.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Novartis’ Alcon has re-activated their program based on confirming through an independent auditing firm an outstanding ROI on SampleMD’s eCoupon promotion. Furthermore, this data was highlighted by Novartis during our corporate sponsorship of the inaugural CBInet Pharmaceutical EHR conference focused on leveraging opportunities for promotional effectiveness and brand awareness. The conference was attended by over 150 pharmaceutical brand and marketing executives and highlighted industry luminaries, panel discussions and client presentations. David Harrell, Chairman and Chief Executive Officer was a noted Keynote speaker, and many clients and partners cited unsolicited testimonials at the successes they have experienced engaging with us. We will be the lead sponsor for a similar conference in October as requested by many of the pharmaceutical client and partners we engage.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marketing efforts, along with our expert support team and proven reputation, has enabled us to acquire more manufacturers and brands—including Baush &amp; Lomb and AstraZeneca’s promoted portfolio of leading drugs like Crestor, Seroquel and others. AstraZeneca represents a very important win strategically, too, based on the fact that they were previously utilizing a competitive platform.</w:t>
      </w:r>
    </w:p>
    <w:p>
      <w:pPr>
        <w:sectPr>
          <w:pgSz w:w="11900" w:h="16838" w:orient="portrait"/>
          <w:cols w:equalWidth="0" w:num="1">
            <w:col w:w="11420"/>
          </w:cols>
          <w:pgMar w:left="240" w:top="229"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of acquiring, integrating and expanding into other promotional EHR/eRx platforms continues to grow as well. We are just launching our first initial brands into eHealthline, as well as will be completing our integration into LDMs network and others.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expect to launch our patient savings and support within Quest Care360 by end of June 2014. Quest Diagnostics is the world’s leading provider of diagnostic information servicing approximately half of the physicians and hospitals in the U.S. and touches the lives of approximately 30% of American adults a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very productive discussions with other leading EHRs and expect our active network to nearly double by end of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growth of both our pharmaceutical products and our distribution network, we remain confident that our distributions will double over last 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this growth, we have completed the development and migration of SampleMD 2.0’s on-demand, rule based content delivery platform. The system can now manage up to 1 million rules and return the appropriate content within under 1 second. This allows unsurpassed response time to avoid delays, and the ability to meet the upcoming dramatic scale we expect.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Key Quarterly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we also successfully completed a $10 million capital raise and exercised the option to redeem Vicis Capital Master Fund’s holdings in our company. By successfully executing these initiatives we reduced fully diluted shares by approximately 7 million and provided an additional $3 Million in working capital to support the company's growth and eliminated dividend payments and other favorable provisions of Vicis preferred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after extensive negotiations, OPTIMIZERx and LDM executed a settlement agreement and filed a stipulation to dismiss the litigation with prejudice on March 17, 2014, which the District Court entered on March 19, 2014. This resolves all patent issues and enables us to promote our eCoupons to their network of up to 100,000 healthcare providers, as well as receive additional revenue share through promotion of their sponsored patient education within our network.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Chief Financial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Mr. Douglas P. Baker is joining the organization as its Chief Financial Officer. Doug brings with him over 23 years of public company experience and joins OPTIMIZERx after serving the last 18 years as CFO and Board Director for a publicly traded technology company in the nanotechnology field. Prior to that, Doug held CFO and Divisional Controller positions at large privately held companies after serving nearly 10 years as a CPA with Plante &amp; Moran.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Doug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remains very excited about our core e-coupon business based on our proven impact and platform partnerships continuing to expand. We are also pleased with our current discussions and recognized value from leading veterinary platform providers whom are interested in partnering to deliver similar automated savings to animal owners—while allowing veterinarian’s to remain competitive in their pharmacy business. We are also exploring other new channels to automate savings which hold high promise and rapid growth.</w:t>
      </w:r>
    </w:p>
    <w:p>
      <w:pPr>
        <w:spacing w:after="0" w:line="17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We expect very significant ramp up the second half of the year as we fully roll out our new channels to expand our promotional reach.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products and applications can be summarized as follows:</w:t>
      </w:r>
    </w:p>
    <w:p>
      <w:pPr>
        <w:spacing w:after="0" w:line="225" w:lineRule="exact"/>
        <w:rPr>
          <w:sz w:val="20"/>
          <w:szCs w:val="20"/>
          <w:color w:val="auto"/>
        </w:rPr>
      </w:pPr>
    </w:p>
    <w:p>
      <w:pPr>
        <w:jc w:val="both"/>
        <w:ind w:left="660" w:right="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OPTIMIZEHR – Our consulting practice focused at educating and working with pharmaceutical manufacturers on identifying, formulating, and implementing new eRx media strategies for promoting their product.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w:t>
      </w:r>
    </w:p>
    <w:p>
      <w:pPr>
        <w:sectPr>
          <w:pgSz w:w="11900" w:h="16838" w:orient="portrait"/>
          <w:cols w:equalWidth="0" w:num="1">
            <w:col w:w="11420"/>
          </w:cols>
          <w:pgMar w:left="240" w:top="229" w:right="239" w:bottom="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4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extend our marketing efforts to build both brand and capabilities awareness to the market. As mentioned above, we continue to actively participate in industry and partner events such as exlPharma and the ACE – Allscripts Users Conference as well as taking a lead sponsor position in the inaugural CBInet eRx and EHR conference in March of 2014. During the course of the year, we also initiated and delivered successful email marketing campaigns, webinar with CMI Compass on What Physicians want within their HER’s, as well as successful public relations and press release communications initiatives. We ran advertising campaigns through Pharma Exec magazine that netted several responses and qualified leads.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OPTIMIZERx and SampleMD primarily through the following:</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Partner Events;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Campaigns;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Marketing;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Relations Campaigns;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Offices;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to Consumer Marketing;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Media Advertising;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Pharmacy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Organizations and Associations;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have attracted and hired a highly seasoned Sales and Marketing Executive who has decades of global pharmaceutical marketing and sales experience at AstraZeneca and others as our Eastern Vice President of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our technology and plan to release SampleMD 2.0 in 2014. This new and improved release will enhance the performance of our first version through quicker response times, easier integration to platform partners, modularity for the addition of new features and functions and an entirely updated user interface to speed and enhance the setup of new programs and campaigns. We will continue to offer reporting portal access to our clients with a new and improved user interface and updated reporting capabilities for monitoring program and campaign performance.</w:t>
      </w:r>
    </w:p>
    <w:p>
      <w:pPr>
        <w:spacing w:after="0" w:line="3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SampleMD 2.0 release will also be supported by a new and updated infrastructure that is a high availability clustered environment with remote disaster recovery enabling us to be back up and running from the worst facility catastrophe in very short order.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OPTIMIZERx, we are still keen on the opinions and input that we gain from all stakeholders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technology roadmap for potential new solutions continues to grow as we continued to finalize the two development programs initiated this year featuring a live chat or conversation between the health provider and product manufacturer or service, as well as a one click way to request a representative visit. These solutions address major access barriers that limit doctors’ interaction with the manufacturer and allow the health system or provider to access needed information when they want it. As we are in collaboration with our partners, further content and information delivery solutions are being flushed out as we continue to integrate with new channels and partners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leadership of the Director of Technology and Director of Software Development, whom were added late in 2011 to strengthen our core technical team, we have added an additional developer and a technical intern while leveraging a new development partner in Simple eSolutions, whom provided valuable architecture, system design and database management support on the SampleMD 2.0 effort. We also continued to work with the Engineering and Information Technology department of Oakland University in Rochester Michigan. As the University has opened the doors of its new medical school, it also brings highly skilled technology and application developers whom possess a solid knowledge of medical industry IT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SampleMD has faced some competition based on the growth in the space primarily by Physicians Interactive. As noted, we have filed a patent infringement suit against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these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the reach to clinicians for OPTIMIZERx.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Anti-Kickback Statutes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False Claims Laws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Security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20, 2014, we had 14 employees in addition to 4 contracted programmers through our established relationship with Simple eSolutions a technical and programming resources partner. Additionally we have one contracted business development individual targeting new EMR channel and pharma client.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2014 and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reported for Q1 2014 was $1,317,347, an increase of $648,057 or 97% from Q1 2013.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increased revenue for Q1 2014 as compared with Q1 2013 is a result of the continued viability of our SampleMD solution and the setup and integration fees for pharmaceutical manufacturers whom are participating within this offering. The bulk of our revenue for Q1 2014 came mainly from our core SampleMD solutions as opposed to our new consulting business. We expect revenues to increase on our consulting business for the rest of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to $1,471,958 for Q1 2014 from $733,969 for Q1 2013. Our major expenses for Q1 2014 were stock-based compensation of $421,577, a settlement expense with LDM for $400,000, salaries, wages and benefits of $349,096, professional fees of $92,553, general and administrative expenses of $89,264 and depreciation and amortization of $58,906. In comparison, our major expenses for Q1 2013 were salaries, wages and benefits of $375,071, general and administrative expenses of $218,794, professional fees of $53,098, depreciation and amortization of $48,111, and consulting fees of $20,407.</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expenses increased in Q1 2014 as compared with Q1 2013 largely as a result of stock based compensation of $421,577 and a one-time settlement expenses of $400,000.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Q1 2014 was $653,315, compared to net loss of $224,438, for Q1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2013 and 2012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reported for year ended December 31, 2013 was $4,957,016, an increase from $1,989,086 from the prior year.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increased revenue for the year ended December 31, 2013 as compared with the prior year is a result of the continued viability of our SampleMD solution and the setup and integration fees for pharmaceutical manufacturers whom are participating within this offering. The bulk of our revenue for the year ended December 31, 2013 came mainly from our core SampleMD solutions as opposed to our new consulting business. We expect revenues to increase on our consulting business for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to $2,973,990 for the year ended December 31, 2013 from $2,328,648 for the year ended December 31, 2012. Our major expenses for the year ended December 31, 2013 were salaries, wages and benefits of $1,319,712, professional fees of $552,824, stock-based compensation of $411,412, general and administrative expenses of $288,297, depreciation and amortization of $193,971, and consulting fees of $100,077. Our expenses increased in 2013 as compared with 2012 largely as a result of salaries, wages and benefits, professional fees and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operating expenses to increase slightly, with the most increase coming as we will continue to add personnel to strengthen our operations, sales and marketing efforts going forward.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year ended December 31, 2013 was $215,847, compared to net loss of $ $454,553 for the year ended December 31, 2012.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company is starting to show real signs of improvement with positive income this year. With increased sales forecasted for next year, we believe that we will achieve a small improvement to net income in 2014.</w:t>
      </w:r>
    </w:p>
    <w:p>
      <w:pPr>
        <w:sectPr>
          <w:pgSz w:w="11900" w:h="16838" w:orient="portrait"/>
          <w:cols w:equalWidth="0" w:num="1">
            <w:col w:w="11420"/>
          </w:cols>
          <w:pgMar w:left="240" w:top="229" w:right="239" w:bottom="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2014, we had total current assets of $5,153,914 and total assets in the amount of $6,515,322. Our total current liabilities as of March 31, 2014 were $1,912,659. We had working capital of $3,241,255 as of March 31, 2014.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activities provided $226,727 in cash for the three months ended March 31, 2014. Our decrease in accounts receivable of $455,585, stock-based compensation of $421,577, an increase in revenue share payable of $395,935, and an increase in deferred revenue of $164,462 were the primary components of our positive operating cash flow, offset mainly by our net loss of $653,315 and a decrease in accrued expenses of $134,042.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used $109,272 during the three months ended March 31, 2014 largely as a result of patent rights and website development costs.</w:t>
      </w:r>
    </w:p>
    <w:p>
      <w:pPr>
        <w:spacing w:after="0" w:line="216"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2"/>
          <w:szCs w:val="22"/>
          <w:color w:val="auto"/>
        </w:rPr>
        <w:t>Financing activities provided $2,795,032 during the three months ended March 31, 2104. 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2014, there were no off 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 financial position or cash flow.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the transactions described below and under the heading “Executive Compensation” (or with respect to which such information is omitted in accordance with SEC regulations), since January 1, 2013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2014, we raised gross proceeds of $10,000,000 in the March 2014 Private Placement with certain accredited investors. We used a portion of the net proceeds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Fiscal Year Ending December 31, 2012</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10"/>
        </w:trPr>
        <w:tc>
          <w:tcPr>
            <w:tcW w:w="19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Quarter Ended</w:t>
            </w:r>
          </w:p>
        </w:tc>
        <w:tc>
          <w:tcPr>
            <w:tcW w:w="2440" w:type="dxa"/>
            <w:vAlign w:val="bottom"/>
            <w:tcBorders>
              <w:top w:val="single" w:sz="8" w:color="auto"/>
            </w:tcBorders>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High $</w:t>
            </w:r>
          </w:p>
        </w:tc>
        <w:tc>
          <w:tcPr>
            <w:tcW w:w="1300" w:type="dxa"/>
            <w:vAlign w:val="bottom"/>
            <w:tcBorders>
              <w:top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Low $</w:t>
            </w:r>
          </w:p>
        </w:tc>
      </w:tr>
      <w:tr>
        <w:trPr>
          <w:trHeight w:val="210"/>
        </w:trPr>
        <w:tc>
          <w:tcPr>
            <w:tcW w:w="1900" w:type="dxa"/>
            <w:vAlign w:val="bottom"/>
            <w:tcBorders>
              <w:top w:val="single" w:sz="8" w:color="auto"/>
            </w:tcBorders>
            <w:gridSpan w:val="2"/>
            <w:shd w:val="clear" w:color="auto" w:fill="CCEECC"/>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2012</w:t>
            </w: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Times New Roman" w:cs="Times New Roman" w:eastAsia="Times New Roman" w:hAnsi="Times New Roman"/>
                <w:sz w:val="18"/>
                <w:szCs w:val="18"/>
                <w:color w:val="auto"/>
              </w:rPr>
              <w:t>0.85</w:t>
            </w:r>
          </w:p>
        </w:tc>
        <w:tc>
          <w:tcPr>
            <w:tcW w:w="60" w:type="dxa"/>
            <w:vAlign w:val="bottom"/>
            <w:tcBorders>
              <w:top w:val="single" w:sz="8" w:color="auto"/>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2012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2012</w:t>
            </w:r>
          </w:p>
        </w:tc>
        <w:tc>
          <w:tcPr>
            <w:tcW w:w="182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5"/>
              </w:rPr>
              <w:t>1.35</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shd w:val="clear" w:color="auto" w:fill="CCEECC"/>
          </w:tcPr>
          <w:p>
            <w:pPr>
              <w:spacing w:after="0"/>
              <w:rPr>
                <w:sz w:val="18"/>
                <w:szCs w:val="18"/>
                <w:color w:val="auto"/>
              </w:rPr>
            </w:pPr>
          </w:p>
        </w:tc>
      </w:tr>
      <w:tr>
        <w:trPr>
          <w:trHeight w:val="234"/>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2012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tcPr>
          <w:p>
            <w:pPr>
              <w:spacing w:after="0"/>
              <w:rPr>
                <w:sz w:val="20"/>
                <w:szCs w:val="20"/>
                <w:color w:val="auto"/>
              </w:rPr>
            </w:pPr>
          </w:p>
        </w:tc>
      </w:tr>
      <w:tr>
        <w:trPr>
          <w:trHeight w:val="414"/>
        </w:trPr>
        <w:tc>
          <w:tcPr>
            <w:tcW w:w="4400" w:type="dxa"/>
            <w:vAlign w:val="bottom"/>
            <w:tcBorders>
              <w:bottom w:val="single" w:sz="8" w:color="auto"/>
            </w:tcBorders>
            <w:gridSpan w:val="7"/>
          </w:tcPr>
          <w:p>
            <w:pPr>
              <w:ind w:left="1420"/>
              <w:spacing w:after="0"/>
              <w:rPr>
                <w:sz w:val="20"/>
                <w:szCs w:val="20"/>
                <w:color w:val="auto"/>
              </w:rPr>
            </w:pPr>
            <w:r>
              <w:rPr>
                <w:rFonts w:ascii="Times New Roman" w:cs="Times New Roman" w:eastAsia="Times New Roman" w:hAnsi="Times New Roman"/>
                <w:sz w:val="18"/>
                <w:szCs w:val="18"/>
                <w:color w:val="auto"/>
              </w:rPr>
              <w:t>Fiscal Year Ending December 31, 2013</w:t>
            </w: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Quarter Ended</w:t>
            </w:r>
          </w:p>
        </w:tc>
        <w:tc>
          <w:tcPr>
            <w:tcW w:w="24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High $</w:t>
            </w: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Low $</w:t>
            </w:r>
          </w:p>
        </w:tc>
      </w:tr>
      <w:tr>
        <w:trPr>
          <w:trHeight w:val="210"/>
        </w:trPr>
        <w:tc>
          <w:tcPr>
            <w:tcW w:w="182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5"/>
              </w:rPr>
              <w:t>1.65</w:t>
            </w:r>
          </w:p>
        </w:tc>
        <w:tc>
          <w:tcPr>
            <w:tcW w:w="4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Times New Roman" w:cs="Times New Roman" w:eastAsia="Times New Roman" w:hAnsi="Times New Roman"/>
                <w:sz w:val="18"/>
                <w:szCs w:val="18"/>
                <w:color w:val="auto"/>
              </w:rPr>
              <w:t>0.91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2013</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0.88</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2013</w:t>
            </w:r>
          </w:p>
        </w:tc>
        <w:tc>
          <w:tcPr>
            <w:tcW w:w="182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CC"/>
          </w:tcPr>
          <w:p>
            <w:pPr>
              <w:spacing w:after="0"/>
              <w:rPr>
                <w:sz w:val="18"/>
                <w:szCs w:val="18"/>
                <w:color w:val="auto"/>
              </w:rPr>
            </w:pPr>
          </w:p>
        </w:tc>
      </w:tr>
      <w:tr>
        <w:trPr>
          <w:trHeight w:val="234"/>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2013</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0.96</w:t>
            </w:r>
          </w:p>
        </w:tc>
        <w:tc>
          <w:tcPr>
            <w:tcW w:w="6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19, 2014, the last sales price per share of our common stock was $1.72.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Penny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disclosure requirements may have the effect of reducing the trading activity for our common stock. Therefore, stockholders may have difficulty selling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20, 2014, we had 23,412,113 shares of our common stock issued and outstanding, held by 316 shareholders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62"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able to pay our debts as they become due in the usual course of business; or</w:t>
      </w:r>
    </w:p>
    <w:p>
      <w:pPr>
        <w:spacing w:after="0" w:line="184"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as of December 31, 2013</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B</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w:t>
            </w:r>
          </w:p>
        </w:tc>
      </w:tr>
      <w:tr>
        <w:trPr>
          <w:trHeight w:val="191"/>
        </w:trPr>
        <w:tc>
          <w:tcPr>
            <w:tcW w:w="2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2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remaining available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for future issuance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issued upon</w:t>
            </w: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under equity</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exercise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compensation plans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outstanding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outstanding</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(excluding securities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reflected in column</w:t>
            </w:r>
          </w:p>
        </w:tc>
      </w:tr>
      <w:tr>
        <w:trPr>
          <w:trHeight w:val="234"/>
        </w:trPr>
        <w:tc>
          <w:tcPr>
            <w:tcW w:w="458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Plan Category</w:t>
            </w: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and rights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and right</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(A))</w:t>
            </w:r>
          </w:p>
        </w:tc>
      </w:tr>
      <w:tr>
        <w:trPr>
          <w:trHeight w:val="178"/>
        </w:trPr>
        <w:tc>
          <w:tcPr>
            <w:tcW w:w="4580" w:type="dxa"/>
            <w:vAlign w:val="bottom"/>
            <w:gridSpan w:val="2"/>
          </w:tcPr>
          <w:p>
            <w:pPr>
              <w:ind w:left="2300"/>
              <w:spacing w:after="0" w:line="178" w:lineRule="exact"/>
              <w:rPr>
                <w:sz w:val="20"/>
                <w:szCs w:val="20"/>
                <w:color w:val="auto"/>
              </w:rPr>
            </w:pPr>
            <w:r>
              <w:rPr>
                <w:rFonts w:ascii="Times New Roman" w:cs="Times New Roman" w:eastAsia="Times New Roman" w:hAnsi="Times New Roman"/>
                <w:sz w:val="18"/>
                <w:szCs w:val="18"/>
                <w:color w:val="auto"/>
              </w:rPr>
              <w:t>Equity compensation plans</w:t>
            </w: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458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2300" w:type="dxa"/>
            <w:vAlign w:val="bottom"/>
          </w:tcPr>
          <w:p>
            <w:pPr>
              <w:spacing w:after="0"/>
              <w:rPr>
                <w:sz w:val="15"/>
                <w:szCs w:val="15"/>
                <w:color w:val="auto"/>
              </w:rPr>
            </w:pPr>
          </w:p>
        </w:tc>
        <w:tc>
          <w:tcPr>
            <w:tcW w:w="2280" w:type="dxa"/>
            <w:vAlign w:val="bottom"/>
            <w:tcBorders>
              <w:top w:val="single" w:sz="8" w:color="CCEECC"/>
            </w:tcBorders>
            <w:shd w:val="clear" w:color="auto" w:fill="CCEECC"/>
          </w:tcPr>
          <w:p>
            <w:pPr>
              <w:ind w:left="80"/>
              <w:spacing w:after="0" w:line="178" w:lineRule="exact"/>
              <w:rPr>
                <w:sz w:val="20"/>
                <w:szCs w:val="20"/>
                <w:color w:val="auto"/>
              </w:rPr>
            </w:pPr>
            <w:r>
              <w:rPr>
                <w:rFonts w:ascii="Times New Roman" w:cs="Times New Roman" w:eastAsia="Times New Roman" w:hAnsi="Times New Roman"/>
                <w:sz w:val="18"/>
                <w:szCs w:val="18"/>
                <w:color w:val="auto"/>
              </w:rPr>
              <w:t>Equity compensation plans</w:t>
            </w:r>
          </w:p>
        </w:tc>
        <w:tc>
          <w:tcPr>
            <w:tcW w:w="13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2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560" w:type="dxa"/>
            <w:vAlign w:val="bottom"/>
            <w:tcBorders>
              <w:top w:val="single" w:sz="8" w:color="auto"/>
              <w:right w:val="single" w:sz="8" w:color="CCEECC"/>
            </w:tcBorders>
            <w:shd w:val="clear" w:color="auto" w:fill="CCEECC"/>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300" w:type="dxa"/>
            <w:vAlign w:val="bottom"/>
          </w:tcPr>
          <w:p>
            <w:pPr>
              <w:spacing w:after="0"/>
              <w:rPr>
                <w:sz w:val="18"/>
                <w:szCs w:val="18"/>
                <w:color w:val="auto"/>
              </w:rPr>
            </w:pPr>
          </w:p>
        </w:tc>
        <w:tc>
          <w:tcPr>
            <w:tcW w:w="22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not approved by security</w:t>
            </w:r>
          </w:p>
        </w:tc>
        <w:tc>
          <w:tcPr>
            <w:tcW w:w="13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560" w:type="dxa"/>
            <w:vAlign w:val="bottom"/>
            <w:tcBorders>
              <w:right w:val="single" w:sz="8" w:color="CCEECC"/>
            </w:tcBorders>
            <w:shd w:val="clear" w:color="auto" w:fill="CCEEC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2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holders</w:t>
            </w:r>
          </w:p>
        </w:tc>
        <w:tc>
          <w:tcPr>
            <w:tcW w:w="14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13,783,334</w:t>
            </w:r>
          </w:p>
        </w:tc>
        <w:tc>
          <w:tcPr>
            <w:tcW w:w="40" w:type="dxa"/>
            <w:vAlign w:val="bottom"/>
            <w:shd w:val="clear" w:color="auto" w:fill="CCEECC"/>
          </w:tcPr>
          <w:p>
            <w:pPr>
              <w:spacing w:after="0"/>
              <w:rPr>
                <w:sz w:val="20"/>
                <w:szCs w:val="20"/>
                <w:color w:val="auto"/>
              </w:rPr>
            </w:pPr>
          </w:p>
        </w:tc>
        <w:tc>
          <w:tcPr>
            <w:tcW w:w="1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CC"/>
          </w:tcPr>
          <w:p>
            <w:pPr>
              <w:spacing w:after="0"/>
              <w:rPr>
                <w:sz w:val="20"/>
                <w:szCs w:val="20"/>
                <w:color w:val="auto"/>
              </w:rPr>
            </w:pPr>
          </w:p>
        </w:tc>
        <w:tc>
          <w:tcPr>
            <w:tcW w:w="1560" w:type="dxa"/>
            <w:vAlign w:val="bottom"/>
            <w:tcBorders>
              <w:right w:val="single" w:sz="8" w:color="CCEECC"/>
            </w:tcBorders>
            <w:shd w:val="clear" w:color="auto" w:fill="CCEEC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13,783,334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2014, we awarded 200,000 shares of stock to David Harrell, David Lester and Terry Hamilton from our 2013 Incentive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29, 2014, David Lester exercised 500,000 stock warrants using the cashless exercise feature. In exchange for the 500,000 warrants, 410,348 shares of common stock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2014, we issued 10,000 shares to North Coast Advisors, our consultant, for services rendered.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March 31, 2014, we issued 267,500 stock options to five employees at exercise prices of $1.54 and $1.82.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March 31, 2014, we issued 10,000 stock options to a non-employee at exercise price of $1.85.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summarizes all compensation awarded to, earned by, or paid to our former or current executive officers for the fiscal years ended December 31, 2013 and 2012.</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1"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Option</w:t>
            </w:r>
          </w:p>
        </w:tc>
        <w:tc>
          <w:tcPr>
            <w:tcW w:w="1120" w:type="dxa"/>
            <w:vAlign w:val="bottom"/>
            <w:tcBorders>
              <w:top w:val="single" w:sz="8" w:color="auto"/>
            </w:tcBorders>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Non-Equity</w:t>
            </w:r>
          </w:p>
        </w:tc>
        <w:tc>
          <w:tcPr>
            <w:tcW w:w="1120" w:type="dxa"/>
            <w:vAlign w:val="bottom"/>
            <w:tcBorders>
              <w:top w:val="single" w:sz="8" w:color="auto"/>
            </w:tcBorders>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8"/>
              </w:rPr>
              <w:t>Nonqualified</w:t>
            </w:r>
          </w:p>
        </w:tc>
        <w:tc>
          <w:tcPr>
            <w:tcW w:w="1120" w:type="dxa"/>
            <w:vAlign w:val="bottom"/>
            <w:tcBorders>
              <w:top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and</w:t>
            </w: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Bonus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gridSpan w:val="2"/>
            <w:vMerge w:val="continue"/>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Incentive Plan</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Deferred</w:t>
            </w:r>
          </w:p>
        </w:tc>
        <w:tc>
          <w:tcPr>
            <w:tcW w:w="1120" w:type="dxa"/>
            <w:vAlign w:val="bottom"/>
            <w:gridSpan w:val="2"/>
            <w:vMerge w:val="continue"/>
          </w:tcPr>
          <w:p>
            <w:pPr>
              <w:spacing w:after="0"/>
              <w:rPr>
                <w:sz w:val="19"/>
                <w:szCs w:val="19"/>
                <w:color w:val="auto"/>
              </w:rPr>
            </w:pPr>
          </w:p>
        </w:tc>
        <w:tc>
          <w:tcPr>
            <w:tcW w:w="6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7"/>
        </w:trPr>
        <w:tc>
          <w:tcPr>
            <w:tcW w:w="12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w:t>
            </w:r>
          </w:p>
        </w:tc>
        <w:tc>
          <w:tcPr>
            <w:tcW w:w="580" w:type="dxa"/>
            <w:vAlign w:val="bottom"/>
            <w:gridSpan w:val="2"/>
            <w:vMerge w:val="continue"/>
          </w:tcPr>
          <w:p>
            <w:pPr>
              <w:spacing w:after="0"/>
              <w:rPr>
                <w:sz w:val="15"/>
                <w:szCs w:val="15"/>
                <w:color w:val="auto"/>
              </w:rPr>
            </w:pPr>
          </w:p>
        </w:tc>
        <w:tc>
          <w:tcPr>
            <w:tcW w:w="6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8"/>
                <w:szCs w:val="18"/>
                <w:color w:val="auto"/>
                <w:w w:val="96"/>
              </w:rPr>
              <w:t>Awards</w:t>
            </w:r>
          </w:p>
        </w:tc>
        <w:tc>
          <w:tcPr>
            <w:tcW w:w="680" w:type="dxa"/>
            <w:vAlign w:val="bottom"/>
            <w:gridSpan w:val="2"/>
          </w:tcPr>
          <w:p>
            <w:pPr>
              <w:jc w:val="center"/>
              <w:ind w:right="20"/>
              <w:spacing w:after="0" w:line="177" w:lineRule="exact"/>
              <w:rPr>
                <w:sz w:val="20"/>
                <w:szCs w:val="20"/>
                <w:color w:val="auto"/>
              </w:rPr>
            </w:pPr>
            <w:r>
              <w:rPr>
                <w:rFonts w:ascii="Times New Roman" w:cs="Times New Roman" w:eastAsia="Times New Roman" w:hAnsi="Times New Roman"/>
                <w:sz w:val="18"/>
                <w:szCs w:val="18"/>
                <w:color w:val="auto"/>
                <w:w w:val="96"/>
              </w:rPr>
              <w:t>Awards</w:t>
            </w:r>
          </w:p>
        </w:tc>
        <w:tc>
          <w:tcPr>
            <w:tcW w:w="3360" w:type="dxa"/>
            <w:vAlign w:val="bottom"/>
            <w:gridSpan w:val="6"/>
          </w:tcPr>
          <w:p>
            <w:pPr>
              <w:jc w:val="center"/>
              <w:ind w:right="20"/>
              <w:spacing w:after="0" w:line="177" w:lineRule="exact"/>
              <w:rPr>
                <w:sz w:val="20"/>
                <w:szCs w:val="20"/>
                <w:color w:val="auto"/>
              </w:rPr>
            </w:pPr>
            <w:r>
              <w:rPr>
                <w:rFonts w:ascii="Times New Roman" w:cs="Times New Roman" w:eastAsia="Times New Roman" w:hAnsi="Times New Roman"/>
                <w:sz w:val="18"/>
                <w:szCs w:val="18"/>
                <w:color w:val="auto"/>
              </w:rPr>
              <w:t>Compensation Compensation Compensation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position</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4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20" w:type="dxa"/>
            <w:vAlign w:val="bottom"/>
          </w:tcPr>
          <w:p>
            <w:pPr>
              <w:jc w:val="center"/>
              <w:spacing w:after="0" w:line="268" w:lineRule="exact"/>
              <w:rPr>
                <w:sz w:val="20"/>
                <w:szCs w:val="20"/>
                <w:color w:val="auto"/>
              </w:rPr>
            </w:pPr>
            <w:r>
              <w:rPr>
                <w:rFonts w:ascii="Times New Roman" w:cs="Times New Roman" w:eastAsia="Times New Roman" w:hAnsi="Times New Roman"/>
                <w:sz w:val="31"/>
                <w:szCs w:val="31"/>
                <w:color w:val="auto"/>
                <w:w w:val="93"/>
                <w:vertAlign w:val="subscript"/>
              </w:rPr>
              <w:t>($)</w:t>
            </w:r>
            <w:r>
              <w:rPr>
                <w:rFonts w:ascii="Times New Roman" w:cs="Times New Roman" w:eastAsia="Times New Roman" w:hAnsi="Times New Roman"/>
                <w:sz w:val="14"/>
                <w:szCs w:val="14"/>
                <w:color w:val="auto"/>
                <w:w w:val="93"/>
              </w:rPr>
              <w:t>(2)</w:t>
            </w:r>
          </w:p>
        </w:tc>
        <w:tc>
          <w:tcPr>
            <w:tcW w:w="60" w:type="dxa"/>
            <w:vAlign w:val="bottom"/>
          </w:tcPr>
          <w:p>
            <w:pPr>
              <w:spacing w:after="0"/>
              <w:rPr>
                <w:sz w:val="23"/>
                <w:szCs w:val="23"/>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Earnings ($)</w:t>
            </w: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91"/>
        </w:trPr>
        <w:tc>
          <w:tcPr>
            <w:tcW w:w="1180" w:type="dxa"/>
            <w:vAlign w:val="bottom"/>
            <w:tcBorders>
              <w:top w:val="single" w:sz="8" w:color="auto"/>
            </w:tcBorders>
            <w:shd w:val="clear" w:color="auto" w:fill="CCEECC"/>
          </w:tcPr>
          <w:p>
            <w:pPr>
              <w:ind w:left="20"/>
              <w:spacing w:after="0" w:line="191" w:lineRule="exact"/>
              <w:rPr>
                <w:sz w:val="20"/>
                <w:szCs w:val="20"/>
                <w:color w:val="auto"/>
              </w:rPr>
            </w:pPr>
            <w:r>
              <w:rPr>
                <w:rFonts w:ascii="Times New Roman" w:cs="Times New Roman" w:eastAsia="Times New Roman" w:hAnsi="Times New Roman"/>
                <w:sz w:val="18"/>
                <w:szCs w:val="18"/>
                <w:color w:val="auto"/>
              </w:rPr>
              <w:t>Shad Stastney</w:t>
            </w:r>
          </w:p>
        </w:tc>
        <w:tc>
          <w:tcPr>
            <w:tcW w:w="40" w:type="dxa"/>
            <w:vAlign w:val="bottom"/>
            <w:tcBorders>
              <w:top w:val="single" w:sz="8" w:color="CCEECC"/>
            </w:tcBorders>
            <w:shd w:val="clear" w:color="auto" w:fill="CCEECC"/>
          </w:tcPr>
          <w:p>
            <w:pPr>
              <w:spacing w:after="0"/>
              <w:rPr>
                <w:sz w:val="16"/>
                <w:szCs w:val="16"/>
                <w:color w:val="auto"/>
              </w:rPr>
            </w:pPr>
          </w:p>
        </w:tc>
        <w:tc>
          <w:tcPr>
            <w:tcW w:w="54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0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60" w:type="dxa"/>
            <w:vAlign w:val="bottom"/>
            <w:tcBorders>
              <w:top w:val="single" w:sz="8" w:color="auto"/>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Former</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President, CEO</w:t>
            </w:r>
          </w:p>
        </w:tc>
        <w:tc>
          <w:tcPr>
            <w:tcW w:w="540" w:type="dxa"/>
            <w:vAlign w:val="bottom"/>
            <w:vMerge w:val="restart"/>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vMerge w:val="restart"/>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80"/>
        </w:trPr>
        <w:tc>
          <w:tcPr>
            <w:tcW w:w="1220" w:type="dxa"/>
            <w:vAlign w:val="bottom"/>
            <w:gridSpan w:val="2"/>
            <w:shd w:val="clear" w:color="auto" w:fill="CCEECC"/>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vMerge w:val="continue"/>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126,762</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9"/>
              </w:rPr>
              <w:t>126,762</w:t>
            </w:r>
          </w:p>
        </w:tc>
        <w:tc>
          <w:tcPr>
            <w:tcW w:w="0" w:type="dxa"/>
            <w:vAlign w:val="bottom"/>
          </w:tcPr>
          <w:p>
            <w:pPr>
              <w:spacing w:after="0"/>
              <w:rPr>
                <w:sz w:val="1"/>
                <w:szCs w:val="1"/>
                <w:color w:val="auto"/>
              </w:rPr>
            </w:pPr>
          </w:p>
        </w:tc>
      </w:tr>
      <w:tr>
        <w:trPr>
          <w:trHeight w:val="198"/>
        </w:trPr>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David Lester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Treasurer and</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167,500</w:t>
            </w:r>
          </w:p>
        </w:tc>
        <w:tc>
          <w:tcPr>
            <w:tcW w:w="0" w:type="dxa"/>
            <w:vAlign w:val="bottom"/>
          </w:tcPr>
          <w:p>
            <w:pPr>
              <w:spacing w:after="0"/>
              <w:rPr>
                <w:sz w:val="1"/>
                <w:szCs w:val="1"/>
                <w:color w:val="auto"/>
              </w:rPr>
            </w:pPr>
          </w:p>
        </w:tc>
      </w:tr>
      <w:tr>
        <w:trPr>
          <w:trHeight w:val="180"/>
        </w:trPr>
        <w:tc>
          <w:tcPr>
            <w:tcW w:w="1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172,500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157,500</w:t>
            </w:r>
          </w:p>
        </w:tc>
        <w:tc>
          <w:tcPr>
            <w:tcW w:w="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gridSpan w:val="2"/>
            <w:shd w:val="clear" w:color="auto" w:fill="CCEECC"/>
          </w:tcPr>
          <w:p>
            <w:pPr>
              <w:ind w:left="20"/>
              <w:spacing w:after="0" w:line="198" w:lineRule="exact"/>
              <w:rPr>
                <w:sz w:val="20"/>
                <w:szCs w:val="20"/>
                <w:color w:val="auto"/>
              </w:rPr>
            </w:pPr>
            <w:r>
              <w:rPr>
                <w:rFonts w:ascii="Times New Roman" w:cs="Times New Roman" w:eastAsia="Times New Roman" w:hAnsi="Times New Roman"/>
                <w:sz w:val="18"/>
                <w:szCs w:val="18"/>
                <w:color w:val="auto"/>
              </w:rPr>
              <w:t>David A.</w:t>
            </w:r>
          </w:p>
        </w:tc>
        <w:tc>
          <w:tcPr>
            <w:tcW w:w="5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Harrell</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Officer, 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Strategic</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Times New Roman" w:cs="Times New Roman" w:eastAsia="Times New Roman" w:hAnsi="Times New Roman"/>
                <w:sz w:val="18"/>
                <w:szCs w:val="18"/>
                <w:color w:val="auto"/>
              </w:rPr>
              <w:t>Officer and</w:t>
            </w:r>
          </w:p>
        </w:tc>
        <w:tc>
          <w:tcPr>
            <w:tcW w:w="540" w:type="dxa"/>
            <w:vAlign w:val="bottom"/>
            <w:vMerge w:val="restart"/>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166,698</w:t>
            </w:r>
          </w:p>
        </w:tc>
        <w:tc>
          <w:tcPr>
            <w:tcW w:w="60" w:type="dxa"/>
            <w:vAlign w:val="bottom"/>
            <w:shd w:val="clear" w:color="auto" w:fill="CCEECC"/>
          </w:tcPr>
          <w:p>
            <w:pPr>
              <w:spacing w:after="0"/>
              <w:rPr>
                <w:sz w:val="18"/>
                <w:szCs w:val="18"/>
                <w:color w:val="auto"/>
              </w:rPr>
            </w:pPr>
          </w:p>
        </w:tc>
        <w:tc>
          <w:tcPr>
            <w:tcW w:w="600" w:type="dxa"/>
            <w:vAlign w:val="bottom"/>
            <w:vMerge w:val="restart"/>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9"/>
              </w:rPr>
              <w:t>216,698</w:t>
            </w:r>
          </w:p>
        </w:tc>
        <w:tc>
          <w:tcPr>
            <w:tcW w:w="0" w:type="dxa"/>
            <w:vAlign w:val="bottom"/>
          </w:tcPr>
          <w:p>
            <w:pPr>
              <w:spacing w:after="0"/>
              <w:rPr>
                <w:sz w:val="1"/>
                <w:szCs w:val="1"/>
                <w:color w:val="auto"/>
              </w:rPr>
            </w:pPr>
          </w:p>
        </w:tc>
      </w:tr>
      <w:tr>
        <w:trPr>
          <w:trHeight w:val="180"/>
        </w:trPr>
        <w:tc>
          <w:tcPr>
            <w:tcW w:w="1220" w:type="dxa"/>
            <w:vAlign w:val="bottom"/>
            <w:gridSpan w:val="2"/>
            <w:shd w:val="clear" w:color="auto" w:fill="CCEECC"/>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shd w:val="clear" w:color="auto" w:fill="CCEECC"/>
          </w:tcPr>
          <w:p>
            <w:pPr>
              <w:jc w:val="center"/>
              <w:spacing w:after="0" w:line="181" w:lineRule="exact"/>
              <w:rPr>
                <w:sz w:val="20"/>
                <w:szCs w:val="20"/>
                <w:color w:val="auto"/>
              </w:rPr>
            </w:pPr>
            <w:r>
              <w:rPr>
                <w:rFonts w:ascii="Times New Roman" w:cs="Times New Roman" w:eastAsia="Times New Roman" w:hAnsi="Times New Roman"/>
                <w:sz w:val="18"/>
                <w:szCs w:val="18"/>
                <w:color w:val="auto"/>
              </w:rPr>
              <w:t>199,255</w:t>
            </w: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9"/>
              </w:rPr>
              <w:t>180,104</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19,151</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Terence J.</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Hamilton</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VP of Sales and</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164,500</w:t>
            </w:r>
          </w:p>
        </w:tc>
        <w:tc>
          <w:tcPr>
            <w:tcW w:w="0" w:type="dxa"/>
            <w:vAlign w:val="bottom"/>
          </w:tcPr>
          <w:p>
            <w:pPr>
              <w:spacing w:after="0"/>
              <w:rPr>
                <w:sz w:val="1"/>
                <w:szCs w:val="1"/>
                <w:color w:val="auto"/>
              </w:rPr>
            </w:pPr>
          </w:p>
        </w:tc>
      </w:tr>
      <w:tr>
        <w:trPr>
          <w:trHeight w:val="180"/>
        </w:trPr>
        <w:tc>
          <w:tcPr>
            <w:tcW w:w="1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168,500</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157,500</w:t>
            </w:r>
          </w:p>
        </w:tc>
        <w:tc>
          <w:tcPr>
            <w:tcW w:w="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11,000</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14, 2013, we entered into a written Employment Agreement with Shad Stastney. Pursuant to the terms and conditions of the Employment Agreement:</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will serve as Chairman and Chief Executive Officer of our company for a period of twelve (12) months;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will earn a base salary of $175,000;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to Mr. Stastney an option to acquire two million (2,000,000) shares of our common stock at an exercise price per share of $1.00 with a term of 5 years; and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will be entitled to participate in any employee benefit plans, as established by our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August 14, 2013, we amended the employment agreement with Mr. Stastney. Pursuant to the terms and conditions of the Amendment to Employment Agreement with Shad Stastney:</w:t>
      </w:r>
    </w:p>
    <w:p>
      <w:pPr>
        <w:spacing w:after="0" w:line="162" w:lineRule="exact"/>
        <w:rPr>
          <w:sz w:val="20"/>
          <w:szCs w:val="20"/>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agreed to non-competition and non-solicitation restrictions with our company during the term of his employment and two years thereafter;</w:t>
      </w: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Mr. Stastney’s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shall be entitled to two years of severance pay if he is terminated with or without cause.</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62"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the Agreement, Mr. Stastney is no longer an officer or director of our company and all prior agreements with Mr. Stastney are terminated in their entirety;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shall receive 500,000 shares of our common stock, half now and the rest by January 1, 2014;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use our best efforts to register Mr. Stastney’s shares on Form S-8 by March 1, 2014;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pay Mr. Stastney $126,762 and his reasonable out of pocket expenses incurred on our behalf;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agreed to a mutual release of all claims and Mr. Stastney further agreed to certain covenants as provided for in the Agreement;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Stastney will be involved with our company in a limited role as a consultant for one year to assist us on financing, strategic and legal initiatives and to help the transition with several ongoing projects.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14, 2013, we amended the employment agreement with Mr. Lester. Pursuant to the terms and conditions of the Amendment to Employment Agreement with David Lester:</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Lester will serve as Chief Operating Officer of our company;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Lester will earn a base salary of $157,500 per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14, 2013, we amended the employment agreement with Mr. Hamilton. Pursuant to the terms and conditions of the Amendment to Employment Agreement with Terry Hamilton:</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Hamilton will earn a base salary of $157,500 per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14, 2013 we granted restricted stock awards under our 2013 Incentive Plan. Mr. Hamilton was awarded 215,625 shares of our common stock. The restricted stock awards will vest 50% on the date six months and one day after the date of grant, and the remaining 50% one year after the first vesting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14, 2013, we amended the employment agreement with Mr. Harrell Pursuant to the terms and conditions of the Amendment to Employment Agreement with David Harrell:</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Harrell will serve as Vice Chairman of the Board and Chief Strategy Officer of our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Mr. Harrell’s employment shall be for one year, and shall automatically renew for each year thereafter unless terminated on thirty day’s notice before the end of the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Harrell will earn a base salary of $183,750 per 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2013 we granted restricted stock awards under our 2013 Incentive Plan. Mr. David Harrell was awarded 121,875 shares of our common stock. The restricted stock awards will vest 50% on the date six months and one day after the date of grant, and the remaining 50% one year after the first vesting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ectPr>
          <w:pgSz w:w="11900" w:h="16838" w:orient="portrait"/>
          <w:cols w:equalWidth="0" w:num="1">
            <w:col w:w="11420"/>
          </w:cols>
          <w:pgMar w:left="240" w:top="229"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all unexercised options, stock that has not vested, and equity incentive plan awards for each named executive officers as of December 31, 2013.</w:t>
      </w:r>
    </w:p>
    <w:p>
      <w:pPr>
        <w:spacing w:after="0" w:line="158"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11"/>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OUTSTANDING EQUITY AWARDS AT FISCAL YEAR-END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Incentive</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Market</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Awards:</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Payout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Incentive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Unearned</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Awards: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 Units</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Units or</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Rights</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Underlying</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Underlying</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Underlying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That</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Unexercised</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Unexercised</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Unexercised</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Have</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Have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Have</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Unearned</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Not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Expiration</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Vested</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r>
      <w:tr>
        <w:trPr>
          <w:trHeight w:val="234"/>
        </w:trPr>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Exercisable</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Unexercisable</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5"/>
        </w:trPr>
        <w:tc>
          <w:tcPr>
            <w:tcW w:w="7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220"/>
              <w:spacing w:after="0"/>
              <w:rPr>
                <w:sz w:val="20"/>
                <w:szCs w:val="20"/>
                <w:color w:val="auto"/>
              </w:rPr>
            </w:pPr>
            <w:r>
              <w:rPr>
                <w:rFonts w:ascii="Times New Roman" w:cs="Times New Roman" w:eastAsia="Times New Roman" w:hAnsi="Times New Roman"/>
                <w:sz w:val="18"/>
                <w:szCs w:val="18"/>
                <w:color w:val="auto"/>
              </w:rPr>
              <w:t>375,000</w:t>
            </w:r>
          </w:p>
        </w:tc>
        <w:tc>
          <w:tcPr>
            <w:tcW w:w="40" w:type="dxa"/>
            <w:vAlign w:val="bottom"/>
            <w:tcBorders>
              <w:top w:val="single" w:sz="8" w:color="CCEECC"/>
            </w:tcBorders>
            <w:shd w:val="clear" w:color="auto" w:fill="CCEECC"/>
          </w:tcPr>
          <w:p>
            <w:pPr>
              <w:spacing w:after="0"/>
              <w:rPr>
                <w:sz w:val="20"/>
                <w:szCs w:val="20"/>
                <w:color w:val="auto"/>
              </w:rPr>
            </w:pPr>
          </w:p>
        </w:tc>
        <w:tc>
          <w:tcPr>
            <w:tcW w:w="11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jc w:val="center"/>
              <w:spacing w:after="0" w:line="236" w:lineRule="exact"/>
              <w:rPr>
                <w:sz w:val="20"/>
                <w:szCs w:val="20"/>
                <w:color w:val="auto"/>
              </w:rPr>
            </w:pPr>
            <w:r>
              <w:rPr>
                <w:rFonts w:ascii="Times New Roman" w:cs="Times New Roman" w:eastAsia="Times New Roman" w:hAnsi="Times New Roman"/>
                <w:sz w:val="17"/>
                <w:szCs w:val="17"/>
                <w:color w:val="auto"/>
                <w:w w:val="97"/>
              </w:rPr>
              <w:t>$0.35</w:t>
            </w:r>
            <w:r>
              <w:rPr>
                <w:rFonts w:ascii="Times New Roman" w:cs="Times New Roman" w:eastAsia="Times New Roman" w:hAnsi="Times New Roman"/>
                <w:sz w:val="27"/>
                <w:szCs w:val="27"/>
                <w:color w:val="auto"/>
                <w:w w:val="97"/>
                <w:vertAlign w:val="superscript"/>
              </w:rPr>
              <w:t>(1)</w:t>
            </w:r>
          </w:p>
        </w:tc>
        <w:tc>
          <w:tcPr>
            <w:tcW w:w="120" w:type="dxa"/>
            <w:vAlign w:val="bottom"/>
            <w:tcBorders>
              <w:top w:val="single" w:sz="8" w:color="CCEECC"/>
            </w:tcBorders>
            <w:shd w:val="clear" w:color="auto" w:fill="CCEECC"/>
          </w:tcPr>
          <w:p>
            <w:pPr>
              <w:spacing w:after="0"/>
              <w:rPr>
                <w:sz w:val="20"/>
                <w:szCs w:val="20"/>
                <w:color w:val="auto"/>
              </w:rPr>
            </w:pPr>
          </w:p>
        </w:tc>
        <w:tc>
          <w:tcPr>
            <w:tcW w:w="860" w:type="dxa"/>
            <w:vAlign w:val="bottom"/>
            <w:tcBorders>
              <w:top w:val="single" w:sz="8" w:color="auto"/>
            </w:tcBorders>
            <w:shd w:val="clear" w:color="auto" w:fill="CCEECC"/>
          </w:tcPr>
          <w:p>
            <w:pPr>
              <w:jc w:val="right"/>
              <w:ind w:right="90"/>
              <w:spacing w:after="0"/>
              <w:rPr>
                <w:sz w:val="20"/>
                <w:szCs w:val="20"/>
                <w:color w:val="auto"/>
              </w:rPr>
            </w:pPr>
            <w:r>
              <w:rPr>
                <w:rFonts w:ascii="Times New Roman" w:cs="Times New Roman" w:eastAsia="Times New Roman" w:hAnsi="Times New Roman"/>
                <w:sz w:val="18"/>
                <w:szCs w:val="18"/>
                <w:color w:val="auto"/>
              </w:rPr>
              <w:t>10/1/14</w:t>
            </w:r>
          </w:p>
        </w:tc>
        <w:tc>
          <w:tcPr>
            <w:tcW w:w="60" w:type="dxa"/>
            <w:vAlign w:val="bottom"/>
            <w:tcBorders>
              <w:top w:val="single" w:sz="8" w:color="CCEECC"/>
            </w:tcBorders>
            <w:shd w:val="clear" w:color="auto" w:fill="CCEECC"/>
          </w:tcPr>
          <w:p>
            <w:pPr>
              <w:spacing w:after="0"/>
              <w:rPr>
                <w:sz w:val="20"/>
                <w:szCs w:val="20"/>
                <w:color w:val="auto"/>
              </w:rPr>
            </w:pPr>
          </w:p>
        </w:tc>
        <w:tc>
          <w:tcPr>
            <w:tcW w:w="6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7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r>
      <w:tr>
        <w:trPr>
          <w:trHeight w:val="239"/>
        </w:trPr>
        <w:tc>
          <w:tcPr>
            <w:tcW w:w="84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David</w:t>
            </w:r>
          </w:p>
        </w:tc>
        <w:tc>
          <w:tcPr>
            <w:tcW w:w="1000" w:type="dxa"/>
            <w:vAlign w:val="bottom"/>
            <w:shd w:val="clear" w:color="auto" w:fill="CCEECC"/>
          </w:tcPr>
          <w:p>
            <w:pPr>
              <w:ind w:left="220"/>
              <w:spacing w:after="0"/>
              <w:rPr>
                <w:sz w:val="20"/>
                <w:szCs w:val="20"/>
                <w:color w:val="auto"/>
              </w:rPr>
            </w:pPr>
            <w:r>
              <w:rPr>
                <w:rFonts w:ascii="Times New Roman" w:cs="Times New Roman" w:eastAsia="Times New Roman" w:hAnsi="Times New Roman"/>
                <w:sz w:val="18"/>
                <w:szCs w:val="18"/>
                <w:color w:val="auto"/>
              </w:rPr>
              <w:t>125,000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line="240" w:lineRule="exact"/>
              <w:rPr>
                <w:sz w:val="20"/>
                <w:szCs w:val="20"/>
                <w:color w:val="auto"/>
              </w:rPr>
            </w:pPr>
            <w:r>
              <w:rPr>
                <w:rFonts w:ascii="Times New Roman" w:cs="Times New Roman" w:eastAsia="Times New Roman" w:hAnsi="Times New Roman"/>
                <w:sz w:val="17"/>
                <w:szCs w:val="17"/>
                <w:color w:val="auto"/>
                <w:w w:val="97"/>
              </w:rPr>
              <w:t>$0.35</w:t>
            </w:r>
            <w:r>
              <w:rPr>
                <w:rFonts w:ascii="Times New Roman" w:cs="Times New Roman" w:eastAsia="Times New Roman" w:hAnsi="Times New Roman"/>
                <w:sz w:val="27"/>
                <w:szCs w:val="27"/>
                <w:color w:val="auto"/>
                <w:w w:val="97"/>
                <w:vertAlign w:val="superscript"/>
              </w:rPr>
              <w:t>(1)</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50"/>
              <w:spacing w:after="0"/>
              <w:rPr>
                <w:sz w:val="20"/>
                <w:szCs w:val="20"/>
                <w:color w:val="auto"/>
              </w:rPr>
            </w:pPr>
            <w:r>
              <w:rPr>
                <w:rFonts w:ascii="Times New Roman" w:cs="Times New Roman" w:eastAsia="Times New Roman" w:hAnsi="Times New Roman"/>
                <w:sz w:val="18"/>
                <w:szCs w:val="18"/>
                <w:color w:val="auto"/>
              </w:rPr>
              <w:t>12/22/14</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34"/>
        </w:trPr>
        <w:tc>
          <w:tcPr>
            <w:tcW w:w="84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Lester</w:t>
            </w:r>
          </w:p>
        </w:tc>
        <w:tc>
          <w:tcPr>
            <w:tcW w:w="100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6"/>
              </w:rPr>
              <w:t>55,000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70"/>
              <w:spacing w:after="0"/>
              <w:rPr>
                <w:sz w:val="20"/>
                <w:szCs w:val="20"/>
                <w:color w:val="auto"/>
              </w:rPr>
            </w:pPr>
            <w:r>
              <w:rPr>
                <w:rFonts w:ascii="Times New Roman" w:cs="Times New Roman" w:eastAsia="Times New Roman" w:hAnsi="Times New Roman"/>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198"/>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3/5/14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David</w:t>
            </w: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4/26/15</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Harrell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102,500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5/31/16</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121,875</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225,468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840" w:type="dxa"/>
            <w:vAlign w:val="bottom"/>
            <w:gridSpan w:val="2"/>
            <w:shd w:val="clear" w:color="auto" w:fill="CCEECC"/>
          </w:tcPr>
          <w:p>
            <w:pPr>
              <w:ind w:left="100"/>
              <w:spacing w:after="0" w:line="198" w:lineRule="exact"/>
              <w:rPr>
                <w:sz w:val="20"/>
                <w:szCs w:val="20"/>
                <w:color w:val="auto"/>
              </w:rPr>
            </w:pPr>
            <w:r>
              <w:rPr>
                <w:rFonts w:ascii="Times New Roman" w:cs="Times New Roman" w:eastAsia="Times New Roman" w:hAnsi="Times New Roman"/>
                <w:sz w:val="18"/>
                <w:szCs w:val="18"/>
                <w:color w:val="auto"/>
              </w:rPr>
              <w:t>Terence</w:t>
            </w:r>
          </w:p>
        </w:tc>
        <w:tc>
          <w:tcPr>
            <w:tcW w:w="10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84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J.</w:t>
            </w:r>
          </w:p>
        </w:tc>
        <w:tc>
          <w:tcPr>
            <w:tcW w:w="1000" w:type="dxa"/>
            <w:vAlign w:val="bottom"/>
            <w:shd w:val="clear" w:color="auto" w:fill="CCEECC"/>
          </w:tcPr>
          <w:p>
            <w:pPr>
              <w:ind w:left="220"/>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CC"/>
          </w:tcPr>
          <w:p>
            <w:pPr>
              <w:spacing w:after="0"/>
              <w:rPr>
                <w:sz w:val="18"/>
                <w:szCs w:val="18"/>
                <w:color w:val="auto"/>
              </w:rPr>
            </w:pPr>
          </w:p>
        </w:tc>
        <w:tc>
          <w:tcPr>
            <w:tcW w:w="860" w:type="dxa"/>
            <w:vAlign w:val="bottom"/>
            <w:shd w:val="clear" w:color="auto" w:fill="CCEECC"/>
          </w:tcPr>
          <w:p>
            <w:pPr>
              <w:jc w:val="right"/>
              <w:ind w:right="90"/>
              <w:spacing w:after="0"/>
              <w:rPr>
                <w:sz w:val="20"/>
                <w:szCs w:val="20"/>
                <w:color w:val="auto"/>
              </w:rPr>
            </w:pPr>
            <w:r>
              <w:rPr>
                <w:rFonts w:ascii="Times New Roman" w:cs="Times New Roman" w:eastAsia="Times New Roman" w:hAnsi="Times New Roman"/>
                <w:sz w:val="18"/>
                <w:szCs w:val="18"/>
                <w:color w:val="auto"/>
              </w:rPr>
              <w:t>3/5/14</w:t>
            </w: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4"/>
        </w:trPr>
        <w:tc>
          <w:tcPr>
            <w:tcW w:w="84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Hamilton</w:t>
            </w:r>
          </w:p>
        </w:tc>
        <w:tc>
          <w:tcPr>
            <w:tcW w:w="100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rPr>
              <w:t>127,500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215,625</w:t>
            </w: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398,906</w:t>
            </w: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bl>
    <w:p>
      <w:pPr>
        <w:spacing w:after="0" w:line="225" w:lineRule="exact"/>
        <w:rPr>
          <w:sz w:val="20"/>
          <w:szCs w:val="20"/>
          <w:color w:val="auto"/>
        </w:rPr>
      </w:pPr>
    </w:p>
    <w:p>
      <w:pPr>
        <w:ind w:left="5620" w:right="4500" w:hanging="4926"/>
        <w:spacing w:after="0"/>
        <w:tabs>
          <w:tab w:leader="none" w:pos="91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These are warrants that were revalued on October 1, 2009 to $0.35 per share.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29" w:right="6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Financial Statements Required by Article 8 of Regulation S-X:</w:t>
      </w:r>
    </w:p>
    <w:p>
      <w:pPr>
        <w:spacing w:after="0" w:line="225" w:lineRule="exact"/>
        <w:rPr>
          <w:sz w:val="20"/>
          <w:szCs w:val="20"/>
          <w:color w:val="auto"/>
        </w:rPr>
      </w:pPr>
    </w:p>
    <w:p>
      <w:pPr>
        <w:ind w:left="100" w:right="19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F-1 </w:t>
      </w:r>
      <w:hyperlink w:anchor="page37">
        <w:r>
          <w:rPr>
            <w:rFonts w:ascii="Times New Roman" w:cs="Times New Roman" w:eastAsia="Times New Roman" w:hAnsi="Times New Roman"/>
            <w:sz w:val="18"/>
            <w:szCs w:val="18"/>
            <w:u w:val="single" w:color="auto"/>
            <w:color w:val="0000EE"/>
          </w:rPr>
          <w:t>Consolidated Balance Sheets (Unaudited) as of March 31, 2014 and December 31, 2013;</w:t>
        </w:r>
      </w:hyperlink>
      <w:r>
        <w:rPr>
          <w:rFonts w:ascii="Times New Roman" w:cs="Times New Roman" w:eastAsia="Times New Roman" w:hAnsi="Times New Roman"/>
          <w:sz w:val="18"/>
          <w:szCs w:val="18"/>
          <w:color w:val="auto"/>
        </w:rPr>
        <w:t xml:space="preserve"> F-2 </w:t>
      </w:r>
      <w:hyperlink w:anchor="page38">
        <w:r>
          <w:rPr>
            <w:rFonts w:ascii="Times New Roman" w:cs="Times New Roman" w:eastAsia="Times New Roman" w:hAnsi="Times New Roman"/>
            <w:sz w:val="18"/>
            <w:szCs w:val="18"/>
            <w:u w:val="single" w:color="auto"/>
            <w:color w:val="0000EE"/>
          </w:rPr>
          <w:t>Consolidated Statements of Operations (Unaudited) for the Three Months Ended March 31, 2014 and 2013;</w:t>
        </w:r>
      </w:hyperlink>
      <w:r>
        <w:rPr>
          <w:rFonts w:ascii="Times New Roman" w:cs="Times New Roman" w:eastAsia="Times New Roman" w:hAnsi="Times New Roman"/>
          <w:sz w:val="18"/>
          <w:szCs w:val="18"/>
          <w:color w:val="auto"/>
        </w:rPr>
        <w:t xml:space="preserve"> F-3 </w:t>
      </w:r>
      <w:hyperlink w:anchor="page39">
        <w:r>
          <w:rPr>
            <w:rFonts w:ascii="Times New Roman" w:cs="Times New Roman" w:eastAsia="Times New Roman" w:hAnsi="Times New Roman"/>
            <w:sz w:val="18"/>
            <w:szCs w:val="18"/>
            <w:u w:val="single" w:color="auto"/>
            <w:color w:val="0000EE"/>
          </w:rPr>
          <w:t>Consolidated Statements of Cash Flows (Unaudited) for the Three Months Ended March 31, 2014 and 2013;</w:t>
        </w:r>
      </w:hyperlink>
      <w:r>
        <w:rPr>
          <w:rFonts w:ascii="Times New Roman" w:cs="Times New Roman" w:eastAsia="Times New Roman" w:hAnsi="Times New Roman"/>
          <w:sz w:val="18"/>
          <w:szCs w:val="18"/>
          <w:color w:val="auto"/>
        </w:rPr>
        <w:t xml:space="preserve"> F-4 </w:t>
      </w:r>
      <w:hyperlink w:anchor="page40">
        <w:r>
          <w:rPr>
            <w:rFonts w:ascii="Times New Roman" w:cs="Times New Roman" w:eastAsia="Times New Roman" w:hAnsi="Times New Roman"/>
            <w:sz w:val="18"/>
            <w:szCs w:val="18"/>
            <w:u w:val="single" w:color="auto"/>
            <w:color w:val="0000EE"/>
          </w:rPr>
          <w:t>Notes to Consolidated Financial Statements.</w:t>
        </w:r>
      </w:hyperlink>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31" w:lineRule="exact"/>
        <w:rPr>
          <w:rFonts w:ascii="Times New Roman" w:cs="Times New Roman" w:eastAsia="Times New Roman" w:hAnsi="Times New Roman"/>
          <w:sz w:val="18"/>
          <w:szCs w:val="18"/>
          <w:color w:val="auto"/>
        </w:rPr>
      </w:pPr>
    </w:p>
    <w:p>
      <w:pPr>
        <w:ind w:left="100"/>
        <w:spacing w:after="0"/>
        <w:tabs>
          <w:tab w:leader="none" w:pos="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w:t>
      </w:r>
      <w:r>
        <w:rPr>
          <w:sz w:val="20"/>
          <w:szCs w:val="20"/>
          <w:color w:val="auto"/>
        </w:rPr>
        <w:tab/>
      </w:r>
      <w:hyperlink w:anchor="page52">
        <w:r>
          <w:rPr>
            <w:rFonts w:ascii="Times New Roman" w:cs="Times New Roman" w:eastAsia="Times New Roman" w:hAnsi="Times New Roman"/>
            <w:sz w:val="18"/>
            <w:szCs w:val="18"/>
            <w:u w:val="single" w:color="auto"/>
            <w:color w:val="0000EE"/>
          </w:rPr>
          <w:t>Report of Independent Registered Public Accounting Firm;</w:t>
        </w:r>
      </w:hyperlink>
    </w:p>
    <w:p>
      <w:pPr>
        <w:spacing w:after="0" w:line="9"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16</w:t>
      </w:r>
    </w:p>
    <w:p>
      <w:pPr>
        <w:spacing w:after="0" w:line="9" w:lineRule="exact"/>
        <w:rPr>
          <w:rFonts w:ascii="Times New Roman" w:cs="Times New Roman" w:eastAsia="Times New Roman" w:hAnsi="Times New Roman"/>
          <w:sz w:val="18"/>
          <w:szCs w:val="18"/>
          <w:color w:val="auto"/>
        </w:rPr>
      </w:pPr>
    </w:p>
    <w:p>
      <w:pPr>
        <w:ind w:left="100"/>
        <w:spacing w:after="0"/>
        <w:tabs>
          <w:tab w:leader="none" w:pos="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w:t>
      </w:r>
      <w:r>
        <w:rPr>
          <w:sz w:val="20"/>
          <w:szCs w:val="20"/>
          <w:color w:val="auto"/>
        </w:rPr>
        <w:tab/>
      </w:r>
      <w:hyperlink w:anchor="page53">
        <w:r>
          <w:rPr>
            <w:rFonts w:ascii="Times New Roman" w:cs="Times New Roman" w:eastAsia="Times New Roman" w:hAnsi="Times New Roman"/>
            <w:sz w:val="18"/>
            <w:szCs w:val="18"/>
            <w:u w:val="single" w:color="auto"/>
            <w:color w:val="0000EE"/>
          </w:rPr>
          <w:t>Consolidated Balance Sheets as of December 31, 2013 and 2012;</w:t>
        </w:r>
      </w:hyperlink>
    </w:p>
    <w:p>
      <w:pPr>
        <w:spacing w:after="0" w:line="9"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rFonts w:ascii="Times New Roman" w:cs="Times New Roman" w:eastAsia="Times New Roman" w:hAnsi="Times New Roman"/>
          <w:sz w:val="18"/>
          <w:szCs w:val="18"/>
          <w:color w:val="auto"/>
        </w:rPr>
      </w:pPr>
    </w:p>
    <w:p>
      <w:pPr>
        <w:ind w:left="100" w:right="32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 </w:t>
      </w:r>
      <w:hyperlink w:anchor="page54">
        <w:r>
          <w:rPr>
            <w:rFonts w:ascii="Times New Roman" w:cs="Times New Roman" w:eastAsia="Times New Roman" w:hAnsi="Times New Roman"/>
            <w:sz w:val="18"/>
            <w:szCs w:val="18"/>
            <w:u w:val="single" w:color="auto"/>
            <w:color w:val="0000EE"/>
          </w:rPr>
          <w:t>Consolidated Statements of Operations for the years ended December 31, 2013 and 2012;</w:t>
        </w:r>
      </w:hyperlink>
      <w:r>
        <w:rPr>
          <w:rFonts w:ascii="Times New Roman" w:cs="Times New Roman" w:eastAsia="Times New Roman" w:hAnsi="Times New Roman"/>
          <w:sz w:val="18"/>
          <w:szCs w:val="18"/>
          <w:color w:val="auto"/>
        </w:rPr>
        <w:t xml:space="preserve"> 18</w:t>
      </w:r>
    </w:p>
    <w:p>
      <w:pPr>
        <w:spacing w:after="0" w:line="1" w:lineRule="exact"/>
        <w:rPr>
          <w:rFonts w:ascii="Times New Roman" w:cs="Times New Roman" w:eastAsia="Times New Roman" w:hAnsi="Times New Roman"/>
          <w:sz w:val="18"/>
          <w:szCs w:val="18"/>
          <w:color w:val="auto"/>
        </w:rPr>
      </w:pPr>
    </w:p>
    <w:p>
      <w:pPr>
        <w:ind w:left="100" w:right="43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 </w:t>
      </w:r>
      <w:hyperlink w:anchor="page55">
        <w:r>
          <w:rPr>
            <w:rFonts w:ascii="Times New Roman" w:cs="Times New Roman" w:eastAsia="Times New Roman" w:hAnsi="Times New Roman"/>
            <w:sz w:val="18"/>
            <w:szCs w:val="18"/>
            <w:u w:val="single" w:color="auto"/>
            <w:color w:val="0000EE"/>
          </w:rPr>
          <w:t>Consolidated Statement of Stockholders’ Equity as of December 31, 2013;</w:t>
        </w:r>
      </w:hyperlink>
      <w:r>
        <w:rPr>
          <w:rFonts w:ascii="Times New Roman" w:cs="Times New Roman" w:eastAsia="Times New Roman" w:hAnsi="Times New Roman"/>
          <w:sz w:val="18"/>
          <w:szCs w:val="18"/>
          <w:color w:val="auto"/>
        </w:rPr>
        <w:t xml:space="preserve"> 19</w:t>
      </w:r>
    </w:p>
    <w:p>
      <w:pPr>
        <w:spacing w:after="0" w:line="1" w:lineRule="exact"/>
        <w:rPr>
          <w:rFonts w:ascii="Times New Roman" w:cs="Times New Roman" w:eastAsia="Times New Roman" w:hAnsi="Times New Roman"/>
          <w:sz w:val="18"/>
          <w:szCs w:val="18"/>
          <w:color w:val="auto"/>
        </w:rPr>
      </w:pPr>
    </w:p>
    <w:p>
      <w:pPr>
        <w:ind w:left="100"/>
        <w:spacing w:after="0"/>
        <w:tabs>
          <w:tab w:leader="none" w:pos="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w:t>
      </w:r>
      <w:r>
        <w:rPr>
          <w:sz w:val="20"/>
          <w:szCs w:val="20"/>
          <w:color w:val="auto"/>
        </w:rPr>
        <w:tab/>
      </w:r>
      <w:hyperlink w:anchor="page56">
        <w:r>
          <w:rPr>
            <w:rFonts w:ascii="Times New Roman" w:cs="Times New Roman" w:eastAsia="Times New Roman" w:hAnsi="Times New Roman"/>
            <w:sz w:val="18"/>
            <w:szCs w:val="18"/>
            <w:u w:val="single" w:color="auto"/>
            <w:color w:val="0000EE"/>
          </w:rPr>
          <w:t>Consolidated Statements of Cash Flows for the years ended December 31, 2013 and 2012; and</w:t>
        </w:r>
      </w:hyperlink>
    </w:p>
    <w:p>
      <w:pPr>
        <w:spacing w:after="0" w:line="9"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rFonts w:ascii="Times New Roman" w:cs="Times New Roman" w:eastAsia="Times New Roman" w:hAnsi="Times New Roman"/>
          <w:sz w:val="18"/>
          <w:szCs w:val="18"/>
          <w:color w:val="auto"/>
        </w:rPr>
      </w:pPr>
    </w:p>
    <w:p>
      <w:pPr>
        <w:ind w:left="100"/>
        <w:spacing w:after="0"/>
        <w:tabs>
          <w:tab w:leader="none" w:pos="4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w:t>
      </w:r>
      <w:r>
        <w:rPr>
          <w:sz w:val="20"/>
          <w:szCs w:val="20"/>
          <w:color w:val="auto"/>
        </w:rPr>
        <w:tab/>
      </w:r>
      <w:hyperlink w:anchor="page57">
        <w:r>
          <w:rPr>
            <w:rFonts w:ascii="Times New Roman" w:cs="Times New Roman" w:eastAsia="Times New Roman" w:hAnsi="Times New Roman"/>
            <w:sz w:val="18"/>
            <w:szCs w:val="18"/>
            <w:u w:val="single" w:color="auto"/>
            <w:color w:val="0000EE"/>
          </w:rPr>
          <w:t>Consolidated Notes to Financial Statements.</w:t>
        </w:r>
      </w:hyperlink>
    </w:p>
    <w:p>
      <w:pPr>
        <w:spacing w:after="0" w:line="9"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21</w:t>
      </w:r>
    </w:p>
    <w:p>
      <w:pPr>
        <w:spacing w:after="0" w:line="396" w:lineRule="exact"/>
        <w:rPr>
          <w:rFonts w:ascii="Times New Roman" w:cs="Times New Roman" w:eastAsia="Times New Roman" w:hAnsi="Times New Roman"/>
          <w:sz w:val="18"/>
          <w:szCs w:val="18"/>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2014 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0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060" w:type="dxa"/>
            <w:vAlign w:val="bottom"/>
            <w:tcBorders>
              <w:bottom w:val="single" w:sz="8" w:color="CCEECC"/>
            </w:tcBorders>
            <w:vMerge w:val="continue"/>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March 31, 2014</w:t>
            </w: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4,030,730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1,111,379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1,566,964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5,153,914</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2,696,978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13,688</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Patent rights,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903,617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Web-based technology, net</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439,054</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404,986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Security deposit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1,347,720</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1,295,985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6,515,322</w:t>
            </w:r>
          </w:p>
        </w:tc>
        <w:tc>
          <w:tcPr>
            <w:tcW w:w="28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230,178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570,000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Revenue share payable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797,725</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1,193,661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1,912,659</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1,968,652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5060" w:type="dxa"/>
            <w:vAlign w:val="bottom"/>
            <w:shd w:val="clear" w:color="auto" w:fill="CCEECC"/>
          </w:tcPr>
          <w:p>
            <w:pPr>
              <w:ind w:left="3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 shares authorized, 0</w:t>
            </w: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and 65 shares issued and outstanding</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50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500,000,000 shares authorized,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23,168,337 and 14,773,496 shares issued and 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Stock warrants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3,147,709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18,148,049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27,155,730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8,726,708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(454,409)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(233,942)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(25,269,535)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(24,616,220)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4,602,663</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2,039,368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6,515,322</w:t>
            </w:r>
          </w:p>
        </w:tc>
        <w:tc>
          <w:tcPr>
            <w:tcW w:w="60" w:type="dxa"/>
            <w:vAlign w:val="bottom"/>
            <w:shd w:val="clear" w:color="auto" w:fill="CCEECC"/>
          </w:tcPr>
          <w:p>
            <w:pPr>
              <w:spacing w:after="0"/>
              <w:rPr>
                <w:sz w:val="21"/>
                <w:szCs w:val="21"/>
                <w:color w:val="auto"/>
              </w:rPr>
            </w:pPr>
          </w:p>
        </w:tc>
        <w:tc>
          <w:tcPr>
            <w:tcW w:w="28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CCEECC"/>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C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6760" w:type="dxa"/>
            <w:vAlign w:val="bottom"/>
            <w:gridSpan w:val="7"/>
          </w:tcPr>
          <w:p>
            <w:pPr>
              <w:ind w:left="13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06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F-1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2014 AND 2013</w:t>
      </w:r>
    </w:p>
    <w:p>
      <w:pPr>
        <w:sectPr>
          <w:pgSz w:w="11900" w:h="16838" w:orient="portrait"/>
          <w:cols w:equalWidth="0" w:num="1">
            <w:col w:w="10219"/>
          </w:cols>
          <w:pgMar w:left="24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NET REVENUE</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REVENUE SHARE EXPENSE</w:t>
      </w:r>
    </w:p>
    <w:p>
      <w:pPr>
        <w:spacing w:after="0" w:line="26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GROSS MARGIN</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EXPENSES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color w:val="auto"/>
        </w:rPr>
        <w:t>For the</w:t>
      </w:r>
    </w:p>
    <w:p>
      <w:pPr>
        <w:spacing w:after="0" w:line="27"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9" w:lineRule="exact"/>
        <w:rPr>
          <w:sz w:val="20"/>
          <w:szCs w:val="20"/>
          <w:color w:val="auto"/>
        </w:rPr>
      </w:pPr>
    </w:p>
    <w:p>
      <w:pPr>
        <w:jc w:val="center"/>
        <w:ind w:left="-49"/>
        <w:spacing w:after="0"/>
        <w:rPr>
          <w:sz w:val="20"/>
          <w:szCs w:val="20"/>
          <w:color w:val="auto"/>
        </w:rPr>
      </w:pPr>
      <w:r>
        <w:rPr>
          <w:rFonts w:ascii="Times New Roman" w:cs="Times New Roman" w:eastAsia="Times New Roman" w:hAnsi="Times New Roman"/>
          <w:sz w:val="18"/>
          <w:szCs w:val="18"/>
          <w:color w:val="auto"/>
        </w:rPr>
        <w:t>March 31, 2014</w:t>
      </w:r>
    </w:p>
    <w:p>
      <w:pPr>
        <w:spacing w:after="0" w:line="234" w:lineRule="exact"/>
        <w:rPr>
          <w:sz w:val="20"/>
          <w:szCs w:val="20"/>
          <w:color w:val="auto"/>
        </w:rPr>
      </w:pPr>
    </w:p>
    <w:p>
      <w:pPr>
        <w:ind w:left="730" w:hanging="730"/>
        <w:spacing w:after="0"/>
        <w:tabs>
          <w:tab w:leader="none" w:pos="7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1,317,347</w:t>
      </w:r>
    </w:p>
    <w:p>
      <w:pPr>
        <w:spacing w:after="0" w:line="238" w:lineRule="exact"/>
        <w:rPr>
          <w:rFonts w:ascii="Times New Roman" w:cs="Times New Roman" w:eastAsia="Times New Roman" w:hAnsi="Times New Roman"/>
          <w:sz w:val="18"/>
          <w:szCs w:val="18"/>
          <w:color w:val="auto"/>
        </w:rPr>
      </w:pPr>
    </w:p>
    <w:p>
      <w:pPr>
        <w:ind w:left="8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498,810</w:t>
      </w:r>
    </w:p>
    <w:p>
      <w:pPr>
        <w:spacing w:after="0" w:line="238" w:lineRule="exact"/>
        <w:rPr>
          <w:rFonts w:ascii="Times New Roman" w:cs="Times New Roman" w:eastAsia="Times New Roman" w:hAnsi="Times New Roman"/>
          <w:sz w:val="18"/>
          <w:szCs w:val="18"/>
          <w:color w:val="auto"/>
        </w:rPr>
      </w:pPr>
    </w:p>
    <w:p>
      <w:pPr>
        <w:ind w:left="8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-410845</wp:posOffset>
            </wp:positionV>
            <wp:extent cx="4347845" cy="70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7845" cy="70294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-693420</wp:posOffset>
            </wp:positionV>
            <wp:extent cx="434784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091"/>
        <w:spacing w:after="0"/>
        <w:rPr>
          <w:sz w:val="20"/>
          <w:szCs w:val="20"/>
          <w:color w:val="auto"/>
        </w:rPr>
      </w:pPr>
      <w:r>
        <w:rPr>
          <w:rFonts w:ascii="Times New Roman" w:cs="Times New Roman" w:eastAsia="Times New Roman" w:hAnsi="Times New Roman"/>
          <w:sz w:val="18"/>
          <w:szCs w:val="18"/>
          <w:color w:val="auto"/>
        </w:rPr>
        <w:t>For the</w:t>
      </w:r>
    </w:p>
    <w:p>
      <w:pPr>
        <w:spacing w:after="0" w:line="27" w:lineRule="exact"/>
        <w:rPr>
          <w:sz w:val="20"/>
          <w:szCs w:val="20"/>
          <w:color w:val="auto"/>
        </w:rPr>
      </w:pPr>
    </w:p>
    <w:p>
      <w:pPr>
        <w:jc w:val="center"/>
        <w:ind w:right="1091"/>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9" w:lineRule="exact"/>
        <w:rPr>
          <w:sz w:val="20"/>
          <w:szCs w:val="20"/>
          <w:color w:val="auto"/>
        </w:rPr>
      </w:pPr>
    </w:p>
    <w:p>
      <w:pPr>
        <w:jc w:val="center"/>
        <w:ind w:right="1091"/>
        <w:spacing w:after="0"/>
        <w:rPr>
          <w:sz w:val="20"/>
          <w:szCs w:val="20"/>
          <w:color w:val="auto"/>
        </w:rPr>
      </w:pPr>
      <w:r>
        <w:rPr>
          <w:rFonts w:ascii="Times New Roman" w:cs="Times New Roman" w:eastAsia="Times New Roman" w:hAnsi="Times New Roman"/>
          <w:sz w:val="18"/>
          <w:szCs w:val="18"/>
          <w:color w:val="auto"/>
        </w:rPr>
        <w:t>March 31, 2013</w:t>
      </w:r>
    </w:p>
    <w:p>
      <w:pPr>
        <w:spacing w:after="0" w:line="9" w:lineRule="exact"/>
        <w:rPr>
          <w:sz w:val="20"/>
          <w:szCs w:val="20"/>
          <w:color w:val="auto"/>
        </w:rPr>
      </w:pPr>
    </w:p>
    <w:p>
      <w:pPr>
        <w:ind w:left="429"/>
        <w:spacing w:after="0"/>
        <w:rPr>
          <w:sz w:val="20"/>
          <w:szCs w:val="20"/>
          <w:color w:val="auto"/>
        </w:rPr>
      </w:pPr>
      <w:r>
        <w:rPr>
          <w:rFonts w:ascii="Times New Roman" w:cs="Times New Roman" w:eastAsia="Times New Roman" w:hAnsi="Times New Roman"/>
          <w:sz w:val="18"/>
          <w:szCs w:val="18"/>
          <w:color w:val="auto"/>
        </w:rPr>
        <w:t>(restated)</w:t>
      </w:r>
    </w:p>
    <w:p>
      <w:pPr>
        <w:spacing w:after="0" w:line="23" w:lineRule="exact"/>
        <w:rPr>
          <w:sz w:val="20"/>
          <w:szCs w:val="20"/>
          <w:color w:val="auto"/>
        </w:rPr>
      </w:pPr>
    </w:p>
    <w:p>
      <w:pPr>
        <w:ind w:left="869" w:hanging="869"/>
        <w:spacing w:after="0"/>
        <w:tabs>
          <w:tab w:leader="none" w:pos="8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669,290</w:t>
      </w:r>
    </w:p>
    <w:p>
      <w:pPr>
        <w:spacing w:after="0" w:line="233" w:lineRule="exact"/>
        <w:rPr>
          <w:rFonts w:ascii="Times New Roman" w:cs="Times New Roman" w:eastAsia="Times New Roman" w:hAnsi="Times New Roman"/>
          <w:sz w:val="18"/>
          <w:szCs w:val="18"/>
          <w:color w:val="auto"/>
        </w:rPr>
      </w:pPr>
    </w:p>
    <w:p>
      <w:pPr>
        <w:ind w:left="8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159,815</w:t>
      </w:r>
    </w:p>
    <w:p>
      <w:pPr>
        <w:spacing w:after="0" w:line="238" w:lineRule="exact"/>
        <w:rPr>
          <w:rFonts w:ascii="Times New Roman" w:cs="Times New Roman" w:eastAsia="Times New Roman" w:hAnsi="Times New Roman"/>
          <w:sz w:val="18"/>
          <w:szCs w:val="18"/>
          <w:color w:val="auto"/>
        </w:rPr>
      </w:pPr>
    </w:p>
    <w:p>
      <w:pPr>
        <w:ind w:left="8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509,475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926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59" w:lineRule="exact"/>
        <w:rPr>
          <w:sz w:val="20"/>
          <w:szCs w:val="20"/>
          <w:color w:val="auto"/>
        </w:rPr>
      </w:pPr>
    </w:p>
    <w:p>
      <w:pPr>
        <w:sectPr>
          <w:pgSz w:w="11900" w:h="16838" w:orient="portrait"/>
          <w:cols w:equalWidth="0" w:num="3">
            <w:col w:w="5230" w:space="720"/>
            <w:col w:w="1470" w:space="191"/>
            <w:col w:w="2608"/>
          </w:cols>
          <w:pgMar w:left="240" w:top="229" w:right="1440"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8"/>
          <w:szCs w:val="18"/>
          <w:color w:val="auto"/>
        </w:rPr>
        <w:t>Operating expenses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26035</wp:posOffset>
            </wp:positionV>
            <wp:extent cx="434784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-119380</wp:posOffset>
            </wp:positionV>
            <wp:extent cx="434784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line="282" w:lineRule="auto"/>
        <w:rPr>
          <w:sz w:val="20"/>
          <w:szCs w:val="20"/>
          <w:color w:val="auto"/>
        </w:rPr>
      </w:pPr>
      <w:r>
        <w:rPr>
          <w:rFonts w:ascii="Times New Roman" w:cs="Times New Roman" w:eastAsia="Times New Roman" w:hAnsi="Times New Roman"/>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-296545</wp:posOffset>
            </wp:positionV>
            <wp:extent cx="434784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47845" cy="274320"/>
                    </a:xfrm>
                    <a:prstGeom prst="rect">
                      <a:avLst/>
                    </a:prstGeom>
                    <a:noFill/>
                  </pic:spPr>
                </pic:pic>
              </a:graphicData>
            </a:graphic>
          </wp:anchor>
        </w:drawing>
      </w:r>
    </w:p>
    <w:p>
      <w:pPr>
        <w:spacing w:after="0" w:line="14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-119380</wp:posOffset>
            </wp:positionV>
            <wp:extent cx="434784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-119380</wp:posOffset>
            </wp:positionV>
            <wp:extent cx="434784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1,471,958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733,969</w:t>
            </w:r>
          </w:p>
        </w:tc>
        <w:tc>
          <w:tcPr>
            <w:tcW w:w="40" w:type="dxa"/>
            <w:vAlign w:val="bottom"/>
          </w:tcPr>
          <w:p>
            <w:pPr>
              <w:spacing w:after="0"/>
              <w:rPr>
                <w:sz w:val="19"/>
                <w:szCs w:val="1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(653,421)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(224,494)</w:t>
            </w: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42"/>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(653,315)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(224,438)</w:t>
            </w:r>
          </w:p>
        </w:tc>
      </w:tr>
      <w:tr>
        <w:trPr>
          <w:trHeight w:val="446"/>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(653,315)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(224,438)</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20"/>
            <w:col w:w="4259"/>
          </w:cols>
          <w:pgMar w:left="240" w:top="229" w:right="1440" w:bottom="1440" w:gutter="0" w:footer="0" w:header="0"/>
          <w:type w:val="continuous"/>
        </w:sectPr>
      </w:pPr>
    </w:p>
    <w:p>
      <w:pPr>
        <w:spacing w:after="0" w:line="7"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w w:val="98"/>
              </w:rPr>
              <w:t>WEIGHTED AVERAGE NUMBER OF SHARES</w:t>
            </w:r>
          </w:p>
        </w:tc>
        <w:tc>
          <w:tcPr>
            <w:tcW w:w="3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OUTSTANDING: BASIC</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NET (LOSS) PER SHARE: BASIC</w:t>
            </w:r>
          </w:p>
        </w:tc>
        <w:tc>
          <w:tcPr>
            <w:tcW w:w="360" w:type="dxa"/>
            <w:vAlign w:val="bottom"/>
            <w:shd w:val="clear" w:color="auto" w:fill="CCEEC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w w:val="98"/>
              </w:rPr>
              <w:t>WEIGHTED AVERAGE NUMBER OF SHARES</w:t>
            </w:r>
          </w:p>
        </w:tc>
        <w:tc>
          <w:tcPr>
            <w:tcW w:w="3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OUTSTANDING: DILUTED</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60" w:type="dxa"/>
            <w:vAlign w:val="bottom"/>
            <w:shd w:val="clear" w:color="auto" w:fill="CCEEC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2014 AND 2013</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For the</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three months</w:t>
            </w: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March 31, 2014</w:t>
            </w: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9"/>
              </w:rPr>
              <w:t>March 31,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Borders>
              <w:bottom w:val="single" w:sz="8" w:color="CCEECC"/>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for the period</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(653,315)</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(224,438)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Stock options issued for services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59,620</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Changes in: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Revenue share payable</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(395,935)</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119,612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164,462</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4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226,727</w:t>
            </w: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Patent rights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3"/>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Web development costs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(109,272</w:t>
            </w:r>
          </w:p>
        </w:tc>
        <w:tc>
          <w:tcPr>
            <w:tcW w:w="80" w:type="dxa"/>
            <w:vAlign w:val="bottom"/>
            <w:tcBorders>
              <w:top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60" w:type="dxa"/>
            <w:vAlign w:val="bottom"/>
            <w:tcBorders>
              <w:top w:val="single" w:sz="8" w:color="CCEECC"/>
            </w:tcBorders>
            <w:gridSpan w:val="2"/>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Equity issuance costs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(1,204,968)</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of common and preferred stock and warrants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2,795,032</w:t>
            </w: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CASH AND CASH</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EQUIVALENTS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2,912,487</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3"/>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 BEGINNING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PERIOD</w:t>
            </w:r>
          </w:p>
        </w:tc>
        <w:tc>
          <w:tcPr>
            <w:tcW w:w="4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1,118,243</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284,263</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60" w:type="dxa"/>
            <w:vAlign w:val="bottom"/>
            <w:shd w:val="clear" w:color="auto" w:fill="CCEE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 END OF</w:t>
            </w:r>
          </w:p>
        </w:tc>
        <w:tc>
          <w:tcPr>
            <w:tcW w:w="40" w:type="dxa"/>
            <w:vAlign w:val="bottom"/>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100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1020" w:type="dxa"/>
            <w:vAlign w:val="bottom"/>
            <w:shd w:val="clear" w:color="auto" w:fill="CCEECC"/>
          </w:tcPr>
          <w:p>
            <w:pPr>
              <w:spacing w:after="0"/>
              <w:rPr>
                <w:sz w:val="16"/>
                <w:szCs w:val="16"/>
                <w:color w:val="auto"/>
              </w:rPr>
            </w:pPr>
          </w:p>
        </w:tc>
        <w:tc>
          <w:tcPr>
            <w:tcW w:w="20" w:type="dxa"/>
            <w:vAlign w:val="bottom"/>
            <w:shd w:val="clear" w:color="auto" w:fill="CCEECC"/>
          </w:tcPr>
          <w:p>
            <w:pPr>
              <w:spacing w:after="0"/>
              <w:rPr>
                <w:sz w:val="16"/>
                <w:szCs w:val="16"/>
                <w:color w:val="auto"/>
              </w:rPr>
            </w:pPr>
          </w:p>
        </w:tc>
        <w:tc>
          <w:tcPr>
            <w:tcW w:w="4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4,030,730</w:t>
            </w:r>
          </w:p>
        </w:tc>
        <w:tc>
          <w:tcPr>
            <w:tcW w:w="120" w:type="dxa"/>
            <w:vAlign w:val="bottom"/>
            <w:shd w:val="clear" w:color="auto" w:fill="CCEECC"/>
          </w:tcPr>
          <w:p>
            <w:pPr>
              <w:spacing w:after="0"/>
              <w:rPr>
                <w:sz w:val="23"/>
                <w:szCs w:val="23"/>
                <w:color w:val="auto"/>
              </w:rPr>
            </w:pPr>
          </w:p>
        </w:tc>
        <w:tc>
          <w:tcPr>
            <w:tcW w:w="1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260,394</w:t>
            </w:r>
          </w:p>
        </w:tc>
        <w:tc>
          <w:tcPr>
            <w:tcW w:w="40" w:type="dxa"/>
            <w:vAlign w:val="bottom"/>
            <w:shd w:val="clear" w:color="auto" w:fill="CCEEC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CC"/>
              <w:bottom w:val="single" w:sz="8" w:color="CCEECC"/>
            </w:tcBorders>
            <w:shd w:val="clear" w:color="auto" w:fill="CCEECC"/>
          </w:tcPr>
          <w:p>
            <w:pPr>
              <w:ind w:left="300"/>
              <w:spacing w:after="0" w:line="195" w:lineRule="exact"/>
              <w:rPr>
                <w:sz w:val="20"/>
                <w:szCs w:val="20"/>
                <w:color w:val="auto"/>
              </w:rPr>
            </w:pPr>
            <w:r>
              <w:rPr>
                <w:rFonts w:ascii="Times New Roman" w:cs="Times New Roman" w:eastAsia="Times New Roman" w:hAnsi="Times New Roman"/>
                <w:sz w:val="18"/>
                <w:szCs w:val="18"/>
                <w:color w:val="auto"/>
              </w:rPr>
              <w:t>Cash paid for income taxes</w:t>
            </w: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SUPPLEMENTAL NON-CASH INVESTING AND</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CC"/>
          </w:tcPr>
          <w:p>
            <w:pPr>
              <w:ind w:left="300"/>
              <w:spacing w:after="0"/>
              <w:rPr>
                <w:sz w:val="20"/>
                <w:szCs w:val="20"/>
                <w:color w:val="auto"/>
              </w:rPr>
            </w:pPr>
            <w:r>
              <w:rPr>
                <w:rFonts w:ascii="Times New Roman" w:cs="Times New Roman" w:eastAsia="Times New Roman" w:hAnsi="Times New Roman"/>
                <w:sz w:val="18"/>
                <w:szCs w:val="18"/>
                <w:color w:val="auto"/>
              </w:rPr>
              <w:t>Common stock issued for equity issuance costs</w:t>
            </w:r>
          </w:p>
        </w:tc>
        <w:tc>
          <w:tcPr>
            <w:tcW w:w="16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bottom w:val="single" w:sz="8" w:color="CCEECC"/>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Stock warrants issued for equity issuance costs</w:t>
            </w:r>
          </w:p>
        </w:tc>
        <w:tc>
          <w:tcPr>
            <w:tcW w:w="4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1,110,211</w:t>
            </w:r>
          </w:p>
        </w:tc>
        <w:tc>
          <w:tcPr>
            <w:tcW w:w="8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bottom w:val="single" w:sz="8" w:color="CCEECC"/>
            </w:tcBorders>
            <w:shd w:val="clear" w:color="auto" w:fill="CCEECC"/>
          </w:tcPr>
          <w:p>
            <w:pPr>
              <w:ind w:left="300"/>
              <w:spacing w:after="0" w:line="195" w:lineRule="exact"/>
              <w:rPr>
                <w:sz w:val="20"/>
                <w:szCs w:val="20"/>
                <w:color w:val="auto"/>
              </w:rPr>
            </w:pPr>
            <w:r>
              <w:rPr>
                <w:rFonts w:ascii="Times New Roman" w:cs="Times New Roman" w:eastAsia="Times New Roman" w:hAnsi="Times New Roman"/>
                <w:sz w:val="18"/>
                <w:szCs w:val="18"/>
                <w:color w:val="auto"/>
              </w:rPr>
              <w:t>Cashless exercise of stock warrants</w:t>
            </w: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106,405</w:t>
            </w:r>
          </w:p>
        </w:tc>
        <w:tc>
          <w:tcPr>
            <w:tcW w:w="8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Common stock issued as deferred stock compensation</w:t>
            </w: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285,187</w:t>
            </w: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2013.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Basis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accompanying financial statements, the Company considers all highly liquid instruments with an initial maturity of three months or less to be cash equivalents.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financial assets and liabilities which consist of cash and cash equivalents, accounts receivable, prepaid expenses, patent rights, web development costs, security deposit, accounts payable, accounts payable – related party, accrued expenses, revenue share payable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three months ended March 31, 2014 and 2013. The allowance for doubtful accounts was $0 as of March 31, 2014 and December 31, 2013.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capital assets are being depreciated over their estimated useful lives, three to seven years using the straight-line method of depreciation for book purposes.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and Revenue Share Expense</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volume of transactions that are delivered through our channel partner network, we provide a revenue share to compensate the partner for their promotion of the campaign through their network.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Common and Common Equivalent Share</w:t>
      </w:r>
    </w:p>
    <w:p>
      <w:pPr>
        <w:spacing w:after="0" w:line="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per share calculation for the three months ended March 31, 2014. They have not been included in the diluted earnings per share calculation for the year ended December 31, 2013 since their effect is anti-dilutive.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operations, financial position or cash flow.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March 31, 2014 and December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2013</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Times New Roman" w:cs="Times New Roman" w:eastAsia="Times New Roman" w:hAnsi="Times New Roman"/>
                <w:sz w:val="18"/>
                <w:szCs w:val="18"/>
                <w:color w:val="auto"/>
              </w:rPr>
              <w:t>Rent</w:t>
            </w:r>
          </w:p>
        </w:tc>
        <w:tc>
          <w:tcPr>
            <w:tcW w:w="4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Total prepaid expenses</w:t>
            </w:r>
          </w:p>
        </w:tc>
        <w:tc>
          <w:tcPr>
            <w:tcW w:w="44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F-7</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March 31, 2014 and December 31, 2013:</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18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6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(18,391)</w:t>
            </w:r>
          </w:p>
        </w:tc>
      </w:tr>
      <w:tr>
        <w:trPr>
          <w:trHeight w:val="223"/>
        </w:trPr>
        <w:tc>
          <w:tcPr>
            <w:tcW w:w="238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CEE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$1,369 and $1,407 for the three months ended March 31, 2014 and 2013,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WEB-BASED TECHNOLOGY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capitalized costs in developing their web-based technology, which consisted of the following as of March 31, 2014 and December 31, 2013:</w:t>
      </w:r>
    </w:p>
    <w:p>
      <w:pPr>
        <w:spacing w:after="0" w:line="175"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28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78"/>
        </w:trPr>
        <w:tc>
          <w:tcPr>
            <w:tcW w:w="2280" w:type="dxa"/>
            <w:vAlign w:val="bottom"/>
            <w:shd w:val="clear" w:color="auto" w:fill="CCEECC"/>
          </w:tcPr>
          <w:p>
            <w:pPr>
              <w:ind w:left="80"/>
              <w:spacing w:after="0" w:line="178" w:lineRule="exact"/>
              <w:rPr>
                <w:sz w:val="20"/>
                <w:szCs w:val="20"/>
                <w:color w:val="auto"/>
              </w:rPr>
            </w:pPr>
            <w:r>
              <w:rPr>
                <w:rFonts w:ascii="Times New Roman" w:cs="Times New Roman" w:eastAsia="Times New Roman" w:hAnsi="Times New Roman"/>
                <w:sz w:val="18"/>
                <w:szCs w:val="18"/>
                <w:color w:val="auto"/>
              </w:rPr>
              <w:t>OptimizeRx web-based</w:t>
            </w:r>
          </w:p>
        </w:tc>
        <w:tc>
          <w:tcPr>
            <w:tcW w:w="10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4"/>
        </w:trPr>
        <w:tc>
          <w:tcPr>
            <w:tcW w:w="22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gridSpan w:val="2"/>
            <w:shd w:val="clear" w:color="auto" w:fill="CCEEC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60" w:type="dxa"/>
            <w:vAlign w:val="bottom"/>
            <w:shd w:val="clear" w:color="auto" w:fill="CCEECC"/>
          </w:tcPr>
          <w:p>
            <w:pPr>
              <w:spacing w:after="0"/>
              <w:rPr>
                <w:sz w:val="20"/>
                <w:szCs w:val="20"/>
                <w:color w:val="auto"/>
              </w:rPr>
            </w:pPr>
          </w:p>
        </w:tc>
      </w:tr>
      <w:tr>
        <w:trPr>
          <w:trHeight w:val="198"/>
        </w:trPr>
        <w:tc>
          <w:tcPr>
            <w:tcW w:w="2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SampleMD web-based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602,517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602,517</w:t>
            </w:r>
          </w:p>
        </w:tc>
        <w:tc>
          <w:tcPr>
            <w:tcW w:w="60" w:type="dxa"/>
            <w:vAlign w:val="bottom"/>
          </w:tcPr>
          <w:p>
            <w:pPr>
              <w:spacing w:after="0"/>
              <w:rPr>
                <w:sz w:val="20"/>
                <w:szCs w:val="20"/>
                <w:color w:val="auto"/>
              </w:rPr>
            </w:pPr>
          </w:p>
        </w:tc>
      </w:tr>
      <w:tr>
        <w:trPr>
          <w:trHeight w:val="198"/>
        </w:trPr>
        <w:tc>
          <w:tcPr>
            <w:tcW w:w="2280" w:type="dxa"/>
            <w:vAlign w:val="bottom"/>
            <w:shd w:val="clear" w:color="auto" w:fill="CCEECC"/>
          </w:tcPr>
          <w:p>
            <w:pPr>
              <w:ind w:left="80"/>
              <w:spacing w:after="0" w:line="198" w:lineRule="exact"/>
              <w:rPr>
                <w:sz w:val="20"/>
                <w:szCs w:val="20"/>
                <w:color w:val="auto"/>
              </w:rPr>
            </w:pPr>
            <w:r>
              <w:rPr>
                <w:rFonts w:ascii="Times New Roman" w:cs="Times New Roman" w:eastAsia="Times New Roman" w:hAnsi="Times New Roman"/>
                <w:sz w:val="18"/>
                <w:szCs w:val="18"/>
                <w:color w:val="auto"/>
              </w:rPr>
              <w:t>SampleMD 2.0 web-based</w:t>
            </w:r>
          </w:p>
        </w:tc>
        <w:tc>
          <w:tcPr>
            <w:tcW w:w="1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8"/>
        </w:trPr>
        <w:tc>
          <w:tcPr>
            <w:tcW w:w="22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CC"/>
          </w:tcPr>
          <w:p>
            <w:pPr>
              <w:spacing w:after="0"/>
              <w:rPr>
                <w:sz w:val="21"/>
                <w:szCs w:val="21"/>
                <w:color w:val="auto"/>
              </w:rPr>
            </w:pPr>
          </w:p>
        </w:tc>
        <w:tc>
          <w:tcPr>
            <w:tcW w:w="20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224,035</w:t>
            </w:r>
          </w:p>
        </w:tc>
        <w:tc>
          <w:tcPr>
            <w:tcW w:w="6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2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148,060</w:t>
            </w:r>
          </w:p>
        </w:tc>
        <w:tc>
          <w:tcPr>
            <w:tcW w:w="60" w:type="dxa"/>
            <w:vAlign w:val="bottom"/>
            <w:shd w:val="clear" w:color="auto" w:fill="CCEECC"/>
          </w:tcPr>
          <w:p>
            <w:pPr>
              <w:spacing w:after="0"/>
              <w:rPr>
                <w:sz w:val="21"/>
                <w:szCs w:val="21"/>
                <w:color w:val="auto"/>
              </w:rPr>
            </w:pPr>
          </w:p>
        </w:tc>
      </w:tr>
      <w:tr>
        <w:trPr>
          <w:trHeight w:val="178"/>
        </w:trPr>
        <w:tc>
          <w:tcPr>
            <w:tcW w:w="228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rPr>
              <w:t>Subtotal, web-based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980,685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904,710</w:t>
            </w:r>
          </w:p>
        </w:tc>
        <w:tc>
          <w:tcPr>
            <w:tcW w:w="60" w:type="dxa"/>
            <w:vAlign w:val="bottom"/>
          </w:tcPr>
          <w:p>
            <w:pPr>
              <w:spacing w:after="0"/>
              <w:rPr>
                <w:sz w:val="20"/>
                <w:szCs w:val="20"/>
                <w:color w:val="auto"/>
              </w:rPr>
            </w:pPr>
          </w:p>
        </w:tc>
      </w:tr>
      <w:tr>
        <w:trPr>
          <w:trHeight w:val="216"/>
        </w:trPr>
        <w:tc>
          <w:tcPr>
            <w:tcW w:w="22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(482,548)</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(440,641)</w:t>
            </w:r>
          </w:p>
        </w:tc>
      </w:tr>
      <w:tr>
        <w:trPr>
          <w:trHeight w:val="230"/>
        </w:trPr>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(59,083)</w:t>
            </w:r>
          </w:p>
        </w:tc>
      </w:tr>
      <w:tr>
        <w:trPr>
          <w:trHeight w:val="223"/>
        </w:trPr>
        <w:tc>
          <w:tcPr>
            <w:tcW w:w="228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Times New Roman" w:cs="Times New Roman" w:eastAsia="Times New Roman" w:hAnsi="Times New Roman"/>
                <w:sz w:val="18"/>
                <w:szCs w:val="18"/>
                <w:color w:val="auto"/>
              </w:rPr>
              <w:t>Web-based technology, net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439,054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is recorded using the straight-line method over a period of five years. The Company is currently developing enhanced SampleMD web-based technology and has capitalized $224,035, which was completed in March 2014. Accordingly, amortization has been recorded. Amortization expense for the web-based technology costs was $41,907 and $32,572 for the three months ended March 31, 2014 and 2013,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AND TRADEMARKS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purchasing and defending the SampleMD patent, which consisted of the following as of March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14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2013</w:t>
            </w:r>
          </w:p>
        </w:tc>
        <w:tc>
          <w:tcPr>
            <w:tcW w:w="3420" w:type="dxa"/>
            <w:vAlign w:val="bottom"/>
          </w:tcPr>
          <w:p>
            <w:pPr>
              <w:spacing w:after="0"/>
              <w:rPr>
                <w:sz w:val="20"/>
                <w:szCs w:val="20"/>
                <w:color w:val="auto"/>
              </w:rPr>
            </w:pPr>
          </w:p>
        </w:tc>
      </w:tr>
      <w:tr>
        <w:trPr>
          <w:trHeight w:val="178"/>
        </w:trPr>
        <w:tc>
          <w:tcPr>
            <w:tcW w:w="3440" w:type="dxa"/>
            <w:vAlign w:val="bottom"/>
          </w:tcPr>
          <w:p>
            <w:pPr>
              <w:spacing w:after="0"/>
              <w:rPr>
                <w:sz w:val="15"/>
                <w:szCs w:val="15"/>
                <w:color w:val="auto"/>
              </w:rPr>
            </w:pPr>
          </w:p>
        </w:tc>
        <w:tc>
          <w:tcPr>
            <w:tcW w:w="2140" w:type="dxa"/>
            <w:vAlign w:val="bottom"/>
            <w:shd w:val="clear" w:color="auto" w:fill="CCEECC"/>
          </w:tcPr>
          <w:p>
            <w:pPr>
              <w:ind w:left="80"/>
              <w:spacing w:after="0" w:line="178" w:lineRule="exact"/>
              <w:rPr>
                <w:sz w:val="20"/>
                <w:szCs w:val="20"/>
                <w:color w:val="auto"/>
              </w:rPr>
            </w:pPr>
            <w:r>
              <w:rPr>
                <w:rFonts w:ascii="Times New Roman" w:cs="Times New Roman" w:eastAsia="Times New Roman" w:hAnsi="Times New Roman"/>
                <w:sz w:val="18"/>
                <w:szCs w:val="18"/>
                <w:color w:val="auto"/>
              </w:rPr>
              <w:t>Patent rights and intangible</w:t>
            </w:r>
          </w:p>
        </w:tc>
        <w:tc>
          <w:tcPr>
            <w:tcW w:w="24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840" w:type="dxa"/>
            <w:vAlign w:val="bottom"/>
            <w:tcBorders>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34"/>
        </w:trPr>
        <w:tc>
          <w:tcPr>
            <w:tcW w:w="3440" w:type="dxa"/>
            <w:vAlign w:val="bottom"/>
          </w:tcPr>
          <w:p>
            <w:pPr>
              <w:spacing w:after="0"/>
              <w:rPr>
                <w:sz w:val="20"/>
                <w:szCs w:val="20"/>
                <w:color w:val="auto"/>
              </w:rPr>
            </w:pPr>
          </w:p>
        </w:tc>
        <w:tc>
          <w:tcPr>
            <w:tcW w:w="21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gridSpan w:val="2"/>
            <w:shd w:val="clear" w:color="auto" w:fill="CCEE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342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 defense costs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87,993</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1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w w:val="99"/>
              </w:rPr>
              <w:t>New patents and trademarks</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72,178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62,595</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(194,638)</w:t>
            </w:r>
          </w:p>
        </w:tc>
        <w:tc>
          <w:tcPr>
            <w:tcW w:w="3420" w:type="dxa"/>
            <w:vAlign w:val="bottom"/>
          </w:tcPr>
          <w:p>
            <w:pPr>
              <w:spacing w:after="0"/>
              <w:rPr>
                <w:sz w:val="19"/>
                <w:szCs w:val="19"/>
                <w:color w:val="auto"/>
              </w:rPr>
            </w:pPr>
          </w:p>
        </w:tc>
      </w:tr>
      <w:tr>
        <w:trPr>
          <w:trHeight w:val="178"/>
        </w:trPr>
        <w:tc>
          <w:tcPr>
            <w:tcW w:w="3440" w:type="dxa"/>
            <w:vAlign w:val="bottom"/>
          </w:tcPr>
          <w:p>
            <w:pPr>
              <w:spacing w:after="0"/>
              <w:rPr>
                <w:sz w:val="15"/>
                <w:szCs w:val="15"/>
                <w:color w:val="auto"/>
              </w:rPr>
            </w:pPr>
          </w:p>
        </w:tc>
        <w:tc>
          <w:tcPr>
            <w:tcW w:w="2380" w:type="dxa"/>
            <w:vAlign w:val="bottom"/>
            <w:tcBorders>
              <w:top w:val="single" w:sz="8" w:color="CCEECC"/>
            </w:tcBorders>
            <w:gridSpan w:val="2"/>
            <w:shd w:val="clear" w:color="auto" w:fill="CCEECC"/>
          </w:tcPr>
          <w:p>
            <w:pPr>
              <w:ind w:left="260"/>
              <w:spacing w:after="0" w:line="178" w:lineRule="exact"/>
              <w:rPr>
                <w:sz w:val="20"/>
                <w:szCs w:val="20"/>
                <w:color w:val="auto"/>
              </w:rPr>
            </w:pPr>
            <w:r>
              <w:rPr>
                <w:rFonts w:ascii="Times New Roman" w:cs="Times New Roman" w:eastAsia="Times New Roman" w:hAnsi="Times New Roman"/>
                <w:sz w:val="18"/>
                <w:szCs w:val="18"/>
                <w:color w:val="auto"/>
              </w:rPr>
              <w:t>Patent rights and intangible</w:t>
            </w:r>
          </w:p>
        </w:tc>
        <w:tc>
          <w:tcPr>
            <w:tcW w:w="20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61"/>
        </w:trPr>
        <w:tc>
          <w:tcPr>
            <w:tcW w:w="3440" w:type="dxa"/>
            <w:vAlign w:val="bottom"/>
          </w:tcPr>
          <w:p>
            <w:pPr>
              <w:spacing w:after="0"/>
              <w:rPr>
                <w:sz w:val="22"/>
                <w:szCs w:val="22"/>
                <w:color w:val="auto"/>
              </w:rPr>
            </w:pPr>
          </w:p>
        </w:tc>
        <w:tc>
          <w:tcPr>
            <w:tcW w:w="21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assets, net</w:t>
            </w:r>
          </w:p>
        </w:tc>
        <w:tc>
          <w:tcPr>
            <w:tcW w:w="440" w:type="dxa"/>
            <w:vAlign w:val="bottom"/>
            <w:gridSpan w:val="2"/>
            <w:shd w:val="clear" w:color="auto" w:fill="CCEE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903,617</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885,950</w:t>
            </w:r>
          </w:p>
        </w:tc>
        <w:tc>
          <w:tcPr>
            <w:tcW w:w="3420" w:type="dxa"/>
            <w:vAlign w:val="bottom"/>
          </w:tcPr>
          <w:p>
            <w:pPr>
              <w:spacing w:after="0"/>
              <w:rPr>
                <w:sz w:val="22"/>
                <w:szCs w:val="22"/>
                <w:color w:val="auto"/>
              </w:rPr>
            </w:pPr>
          </w:p>
        </w:tc>
      </w:tr>
      <w:tr>
        <w:trPr>
          <w:trHeight w:val="20"/>
        </w:trPr>
        <w:tc>
          <w:tcPr>
            <w:tcW w:w="3440" w:type="dxa"/>
            <w:vAlign w:val="bottom"/>
          </w:tcPr>
          <w:p>
            <w:pPr>
              <w:spacing w:after="0" w:line="20" w:lineRule="exact"/>
              <w:rPr>
                <w:sz w:val="1"/>
                <w:szCs w:val="1"/>
                <w:color w:val="auto"/>
              </w:rPr>
            </w:pPr>
          </w:p>
        </w:tc>
        <w:tc>
          <w:tcPr>
            <w:tcW w:w="214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70"/>
        </w:trPr>
        <w:tc>
          <w:tcPr>
            <w:tcW w:w="3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28"/>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F-8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AND TRADEMARKS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$15,630 and $14,132 for the three months ended March 31, 2014 and 2013,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at March 31, 2014 and December 31, 2013:</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March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640" w:type="dxa"/>
            <w:vAlign w:val="bottom"/>
            <w:tcBorders>
              <w:bottom w:val="single" w:sz="8" w:color="CCEECC"/>
            </w:tcBorders>
          </w:tcPr>
          <w:p>
            <w:pPr>
              <w:spacing w:after="0"/>
              <w:rPr>
                <w:sz w:val="20"/>
                <w:szCs w:val="20"/>
                <w:color w:val="auto"/>
              </w:rPr>
            </w:pPr>
          </w:p>
        </w:tc>
        <w:tc>
          <w:tcPr>
            <w:tcW w:w="7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16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Audit fees</w:t>
            </w:r>
          </w:p>
        </w:tc>
        <w:tc>
          <w:tcPr>
            <w:tcW w:w="7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60" w:type="dxa"/>
            <w:vAlign w:val="bottom"/>
            <w:shd w:val="clear" w:color="auto" w:fill="CCEECC"/>
          </w:tcPr>
          <w:p>
            <w:pPr>
              <w:spacing w:after="0"/>
              <w:rPr>
                <w:sz w:val="18"/>
                <w:szCs w:val="18"/>
                <w:color w:val="auto"/>
              </w:rPr>
            </w:pPr>
          </w:p>
        </w:tc>
      </w:tr>
      <w:tr>
        <w:trPr>
          <w:trHeight w:val="230"/>
        </w:trPr>
        <w:tc>
          <w:tcPr>
            <w:tcW w:w="164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74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146,042</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bottom w:val="single" w:sz="8" w:color="CCEECC"/>
            </w:tcBorders>
          </w:tcPr>
          <w:p>
            <w:pPr>
              <w:spacing w:after="0"/>
              <w:rPr>
                <w:sz w:val="19"/>
                <w:szCs w:val="19"/>
                <w:color w:val="auto"/>
              </w:rPr>
            </w:pPr>
          </w:p>
        </w:tc>
      </w:tr>
      <w:tr>
        <w:trPr>
          <w:trHeight w:val="223"/>
        </w:trPr>
        <w:tc>
          <w:tcPr>
            <w:tcW w:w="1640" w:type="dxa"/>
            <w:vAlign w:val="bottom"/>
            <w:tcBorders>
              <w:bottom w:val="single" w:sz="8" w:color="CCEECC"/>
            </w:tcBorders>
            <w:shd w:val="clear" w:color="auto" w:fill="CCEECC"/>
          </w:tcPr>
          <w:p>
            <w:pPr>
              <w:spacing w:after="0"/>
              <w:rPr>
                <w:sz w:val="19"/>
                <w:szCs w:val="19"/>
                <w:color w:val="auto"/>
              </w:rPr>
            </w:pPr>
          </w:p>
        </w:tc>
        <w:tc>
          <w:tcPr>
            <w:tcW w:w="74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146,042</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$168,714 and $4,252 as of March 31, 2014 and December 31, 2013,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OptimizeRx Corporation has 500,000,000 shares of $.001 par value common stock authorized as of March 31, 2014. There were 23,168,337 and 14,773,496 common shares issued and outstanding at March 31, 2014 and December 31, 2013,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2013, the Company entered into an amended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40,000 shares were valued at the Company’s common stock price as of the date of the contract, which was $1.945/share and $1.50/share, respectively, and have been expensed. The Company has also issued an additional 10,000 shares for work beyond the original scope of the contract in February 2014 valued at $18,500.</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$116,538 of that amount remains as deferred stock compensation as of March 31, 2014. Stock-based compensation of $58,270 was recorded in connection with this agreement during the three months ended March 31, 2014.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 The warrants were valued at $1,110,211 and have been recorded as equity issuance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warrants, the Company also issued 200,000 shares to three officers in connection with the equity raise. The stock was valued based on the fair market value on the grant date which was $378,000. The amount has been recorded as equity issuance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the Company granted 337,500 shares of common stock to two employees as bonuses valued at $570,375. As of March 31, 2014, only 50% of the shares had vested. The company recorded the remaining 50% as deferred stock-based compensation. Stock-based compensation related to these bonuses was $285,188 for the three months ended March 31, 2014. The remainder will be expensed once the other 50% of the shares have vested in August 2014.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29, 2014, an officer exercised 500,000 stock warrants using the cashless exercise feature. In exchange for the 500,000 warrants, 410,348 shares of common stock were issued.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Preferred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2008, 35 preferred shares were issued for $3,500,000. Issuance costs totaled $515,000 resulting in net proceeds of $2,985,000. The 35 shares were convertible to 3,500,000 shares of common stock and bore a 10% cumulative dividend. In addition, there was a warrant issued to purchase 6,000,000 shares of common stock at an exercise price of $2 for a period of seven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Series A preferred stock was repurchased as part of the securities buyout by the Company on March 17, 2014 and all undeclared dividends were cancelled. The related warrants were also purchased as part of the buyout.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2010, 15 preferred shares were issued for $1,500,000. The 15 shares were convertible to 1,000,000 shares of common stock and bore a 10% cumulative dividend. In addition, there was a warrant issued to purchase 3,000,000 shares of common stock at an exercise price of $3 for a period of seven years.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Series B preferred stock was repurchased as part of the Vicis securities buyout by the Company on March 17, 2014 and all undeclared dividends were cancelled. The related warrants were also purchased as part of the buyout.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vested over 1 year. The Company recognized share-based compensation expense of $10,002 during the three months ended March 31, 2013. The remainder was expensed during the rest of 2013.</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30, 2013, the Company issued 50,000 stock options to six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and $11,581 during the three months ended March 31, 2014. The remaining balance will be recognized during the rest of 2014.</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2013, the Company issued 75,000 stock options to two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and $17,740 during the three months ended December 31, 2013 and March 31, 2014, respectively. The remaining balance of $41,394 has been recorded as deferred stock compensation and will be recognized during the rest of 2014.</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2014, the Company issued 267,500 stock options to five employees at exercise prices of $1.54 and $1.82. The options were valued on the grant date using the Black-Scholes option-pricing model with the following assumptions: dividend yield of 0%, expected volatility of 172%, risk-free interest rates of 1.58% and 1.46% and expected life of 60 months. The total value of the options was $423,712. The options vest over one year. The Company recognized share-based compensation expense of $24,654 during the three months ended March 31, 2014. The remaining balance will be recognized during 2014 and 2015.</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2014, the Company issued 10,000 stock options to a non-employee at exercise price of $1.85. The options were valued on the grant date using the Black-Scholes option-pricing model with the following assumptions: dividend yield of 0%, expected volatility of 171%, risk-free interest rates of 1.64% and expected life of 60 months. The total value of the options was $16,935. The options vest over six months. The Company recognized share-based compensation expense of $5,645 during the three months ended March 31, 2014. The remaining balance will be recognized during 2014.</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2014, the Company issued 804,139 warrants to two companies at an exercise price of $1.20. The warrants were valued on the grant date using the Black-Scholes option-pricing model with the following assumptions: dividend yield of 0%, expected volatility of 172%, risk-free interest rate of 1.58% and expected life of 60 months. The Company recognized $1,110,211 during the three months ended March 31, 2014 as equity issuance costs related to these warrants.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174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Number of Options</w:t>
            </w:r>
          </w:p>
        </w:tc>
        <w:tc>
          <w:tcPr>
            <w:tcW w:w="10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178"/>
        </w:trPr>
        <w:tc>
          <w:tcPr>
            <w:tcW w:w="1900" w:type="dxa"/>
            <w:vAlign w:val="bottom"/>
            <w:gridSpan w:val="2"/>
            <w:shd w:val="clear" w:color="auto" w:fill="CCEECC"/>
          </w:tcPr>
          <w:p>
            <w:pPr>
              <w:jc w:val="right"/>
              <w:ind w:right="180"/>
              <w:spacing w:after="0" w:line="178" w:lineRule="exact"/>
              <w:rPr>
                <w:sz w:val="20"/>
                <w:szCs w:val="20"/>
                <w:color w:val="auto"/>
              </w:rPr>
            </w:pPr>
            <w:r>
              <w:rPr>
                <w:rFonts w:ascii="Times New Roman" w:cs="Times New Roman" w:eastAsia="Times New Roman" w:hAnsi="Times New Roman"/>
                <w:sz w:val="18"/>
                <w:szCs w:val="18"/>
                <w:color w:val="auto"/>
              </w:rPr>
              <w:t>Outstanding, January</w:t>
            </w:r>
          </w:p>
        </w:tc>
        <w:tc>
          <w:tcPr>
            <w:tcW w:w="17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4"/>
        </w:trPr>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1,276,100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Granted – 2013</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Times New Roman" w:cs="Times New Roman" w:eastAsia="Times New Roman" w:hAnsi="Times New Roman"/>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Expired – 2013</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(2,271,100)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1"/>
        </w:trPr>
        <w:tc>
          <w:tcPr>
            <w:tcW w:w="1740" w:type="dxa"/>
            <w:vAlign w:val="bottom"/>
            <w:tcBorders>
              <w:top w:val="single" w:sz="8" w:color="auto"/>
            </w:tcBorders>
            <w:shd w:val="clear" w:color="auto" w:fill="CCEECC"/>
          </w:tcPr>
          <w:p>
            <w:pPr>
              <w:jc w:val="right"/>
              <w:spacing w:after="0" w:line="191" w:lineRule="exact"/>
              <w:rPr>
                <w:sz w:val="20"/>
                <w:szCs w:val="20"/>
                <w:color w:val="auto"/>
              </w:rPr>
            </w:pPr>
            <w:r>
              <w:rPr>
                <w:rFonts w:ascii="Times New Roman" w:cs="Times New Roman" w:eastAsia="Times New Roman" w:hAnsi="Times New Roman"/>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1,130,000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Granted – 2014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Times New Roman" w:cs="Times New Roman" w:eastAsia="Times New Roman" w:hAnsi="Times New Roman"/>
                <w:sz w:val="18"/>
                <w:szCs w:val="18"/>
                <w:color w:val="auto"/>
              </w:rPr>
              <w:t>Exercised – 2014</w:t>
            </w: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Expired – 2014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r>
      <w:tr>
        <w:trPr>
          <w:trHeight w:val="191"/>
        </w:trPr>
        <w:tc>
          <w:tcPr>
            <w:tcW w:w="1740" w:type="dxa"/>
            <w:vAlign w:val="bottom"/>
            <w:tcBorders>
              <w:top w:val="single" w:sz="8" w:color="auto"/>
            </w:tcBorders>
            <w:shd w:val="clear" w:color="auto" w:fill="CCEECC"/>
          </w:tcPr>
          <w:p>
            <w:pPr>
              <w:jc w:val="right"/>
              <w:spacing w:after="0" w:line="191" w:lineRule="exact"/>
              <w:rPr>
                <w:sz w:val="20"/>
                <w:szCs w:val="20"/>
                <w:color w:val="auto"/>
              </w:rPr>
            </w:pPr>
            <w:r>
              <w:rPr>
                <w:rFonts w:ascii="Times New Roman" w:cs="Times New Roman" w:eastAsia="Times New Roman" w:hAnsi="Times New Roman"/>
                <w:sz w:val="18"/>
                <w:szCs w:val="18"/>
                <w:color w:val="auto"/>
              </w:rPr>
              <w:t>Balance, March 31,</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1,407,500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CC"/>
          </w:tcPr>
          <w:p>
            <w:pPr>
              <w:spacing w:after="0"/>
              <w:rPr>
                <w:sz w:val="20"/>
                <w:szCs w:val="20"/>
                <w:color w:val="auto"/>
              </w:rPr>
            </w:pP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warrants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Number of Warrants</w:t>
            </w: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178"/>
        </w:trPr>
        <w:tc>
          <w:tcPr>
            <w:tcW w:w="1900" w:type="dxa"/>
            <w:vAlign w:val="bottom"/>
            <w:tcBorders>
              <w:top w:val="single" w:sz="8" w:color="CCEECC"/>
            </w:tcBorders>
            <w:gridSpan w:val="2"/>
            <w:shd w:val="clear" w:color="auto" w:fill="CCEECC"/>
          </w:tcPr>
          <w:p>
            <w:pPr>
              <w:jc w:val="right"/>
              <w:ind w:right="180"/>
              <w:spacing w:after="0" w:line="178" w:lineRule="exact"/>
              <w:rPr>
                <w:sz w:val="20"/>
                <w:szCs w:val="20"/>
                <w:color w:val="auto"/>
              </w:rPr>
            </w:pPr>
            <w:r>
              <w:rPr>
                <w:rFonts w:ascii="Times New Roman" w:cs="Times New Roman" w:eastAsia="Times New Roman" w:hAnsi="Times New Roman"/>
                <w:sz w:val="18"/>
                <w:szCs w:val="18"/>
                <w:color w:val="auto"/>
              </w:rPr>
              <w:t>Outstanding, January</w:t>
            </w:r>
          </w:p>
        </w:tc>
        <w:tc>
          <w:tcPr>
            <w:tcW w:w="17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10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6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r>
      <w:tr>
        <w:trPr>
          <w:trHeight w:val="234"/>
        </w:trPr>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12,277,000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Granted – 2013</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Times New Roman" w:cs="Times New Roman" w:eastAsia="Times New Roman" w:hAnsi="Times New Roman"/>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Expired – 2013</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191"/>
        </w:trPr>
        <w:tc>
          <w:tcPr>
            <w:tcW w:w="1740" w:type="dxa"/>
            <w:vAlign w:val="bottom"/>
            <w:tcBorders>
              <w:top w:val="single" w:sz="8" w:color="auto"/>
            </w:tcBorders>
            <w:shd w:val="clear" w:color="auto" w:fill="CCEECC"/>
          </w:tcPr>
          <w:p>
            <w:pPr>
              <w:jc w:val="right"/>
              <w:spacing w:after="0" w:line="191" w:lineRule="exact"/>
              <w:rPr>
                <w:sz w:val="20"/>
                <w:szCs w:val="20"/>
                <w:color w:val="auto"/>
              </w:rPr>
            </w:pPr>
            <w:r>
              <w:rPr>
                <w:rFonts w:ascii="Times New Roman" w:cs="Times New Roman" w:eastAsia="Times New Roman" w:hAnsi="Times New Roman"/>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11,750,000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Granted – 2014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Times New Roman" w:cs="Times New Roman" w:eastAsia="Times New Roman" w:hAnsi="Times New Roman"/>
                <w:sz w:val="18"/>
                <w:szCs w:val="18"/>
                <w:color w:val="auto"/>
              </w:rPr>
              <w:t>Exercised – 2014</w:t>
            </w:r>
          </w:p>
        </w:tc>
        <w:tc>
          <w:tcPr>
            <w:tcW w:w="18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Cancelled – 2014</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1900" w:type="dxa"/>
            <w:vAlign w:val="bottom"/>
            <w:gridSpan w:val="2"/>
            <w:shd w:val="clear" w:color="auto" w:fill="CCEECC"/>
          </w:tcPr>
          <w:p>
            <w:pPr>
              <w:jc w:val="right"/>
              <w:ind w:right="180"/>
              <w:spacing w:after="0"/>
              <w:rPr>
                <w:sz w:val="20"/>
                <w:szCs w:val="20"/>
                <w:color w:val="auto"/>
              </w:rPr>
            </w:pPr>
            <w:r>
              <w:rPr>
                <w:rFonts w:ascii="Times New Roman" w:cs="Times New Roman" w:eastAsia="Times New Roman" w:hAnsi="Times New Roman"/>
                <w:sz w:val="18"/>
                <w:szCs w:val="18"/>
                <w:color w:val="auto"/>
              </w:rPr>
              <w:t>Expired – 2014</w:t>
            </w:r>
          </w:p>
        </w:tc>
        <w:tc>
          <w:tcPr>
            <w:tcW w:w="1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9"/>
                <w:szCs w:val="19"/>
                <w:color w:val="auto"/>
              </w:rPr>
            </w:pPr>
          </w:p>
        </w:tc>
      </w:tr>
      <w:tr>
        <w:trPr>
          <w:trHeight w:val="191"/>
        </w:trPr>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Balance, March 31,</w:t>
            </w:r>
          </w:p>
        </w:tc>
        <w:tc>
          <w:tcPr>
            <w:tcW w:w="16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OPERATING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3600" w:type="dxa"/>
            <w:vAlign w:val="bottom"/>
            <w:shd w:val="clear" w:color="auto" w:fill="CCEECC"/>
          </w:tcPr>
          <w:p>
            <w:pPr>
              <w:jc w:val="right"/>
              <w:ind w:right="35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40" w:type="dxa"/>
            <w:vAlign w:val="bottom"/>
            <w:gridSpan w:val="2"/>
            <w:shd w:val="clear" w:color="auto" w:fill="CCEECC"/>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60" w:type="dxa"/>
            <w:vAlign w:val="bottom"/>
            <w:shd w:val="clear" w:color="auto" w:fill="CCEECC"/>
          </w:tcPr>
          <w:p>
            <w:pPr>
              <w:spacing w:after="0"/>
              <w:rPr>
                <w:sz w:val="19"/>
                <w:szCs w:val="19"/>
                <w:color w:val="auto"/>
              </w:rPr>
            </w:pPr>
          </w:p>
        </w:tc>
      </w:tr>
      <w:tr>
        <w:trPr>
          <w:trHeight w:val="223"/>
        </w:trPr>
        <w:tc>
          <w:tcPr>
            <w:tcW w:w="3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 lease commitment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MAJOR CUSTOMERS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three major customers that accounted for 44% and three major customers that accounted for 72% of the Company’s revenues for the three months ended March 31, 2014 and 2013, respectively. The Company expects to continue to maintain these relationships with the customers.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2014, the Company incurred net loss of approximately $653,000 and therefore has no tax liability. The Company began operations in 2007 and has previous net operating loss carry-forwards of approximately $13,718,000 through December 31, 2013. The cumulative loss of approximately $14,371,000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three months ended March 31, 2014 and 2013:</w:t>
      </w:r>
    </w:p>
    <w:p>
      <w:pPr>
        <w:spacing w:after="0" w:line="131"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20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78"/>
        </w:trPr>
        <w:tc>
          <w:tcPr>
            <w:tcW w:w="2200" w:type="dxa"/>
            <w:vAlign w:val="bottom"/>
            <w:shd w:val="clear" w:color="auto" w:fill="CCEECC"/>
          </w:tcPr>
          <w:p>
            <w:pPr>
              <w:spacing w:after="0" w:line="178" w:lineRule="exact"/>
              <w:rPr>
                <w:sz w:val="20"/>
                <w:szCs w:val="20"/>
                <w:color w:val="auto"/>
              </w:rPr>
            </w:pPr>
            <w:r>
              <w:rPr>
                <w:rFonts w:ascii="Times New Roman" w:cs="Times New Roman" w:eastAsia="Times New Roman" w:hAnsi="Times New Roman"/>
                <w:sz w:val="18"/>
                <w:szCs w:val="18"/>
                <w:color w:val="auto"/>
              </w:rPr>
              <w:t>Federal income tax benefit</w:t>
            </w:r>
          </w:p>
        </w:tc>
        <w:tc>
          <w:tcPr>
            <w:tcW w:w="16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4"/>
        </w:trPr>
        <w:tc>
          <w:tcPr>
            <w:tcW w:w="22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6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operations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60" w:type="dxa"/>
            <w:vAlign w:val="bottom"/>
          </w:tcPr>
          <w:p>
            <w:pPr>
              <w:spacing w:after="0"/>
              <w:rPr>
                <w:sz w:val="18"/>
                <w:szCs w:val="18"/>
                <w:color w:val="auto"/>
              </w:rPr>
            </w:pPr>
          </w:p>
        </w:tc>
      </w:tr>
      <w:tr>
        <w:trPr>
          <w:trHeight w:val="230"/>
        </w:trPr>
        <w:tc>
          <w:tcPr>
            <w:tcW w:w="220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(36,000)</w:t>
            </w:r>
          </w:p>
        </w:tc>
      </w:tr>
      <w:tr>
        <w:trPr>
          <w:trHeight w:val="178"/>
        </w:trPr>
        <w:tc>
          <w:tcPr>
            <w:tcW w:w="220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rPr>
              <w:t>Net provision for federal</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6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tax effect at the expected rate of 34% of significant items comprising our net deferred tax amount is as follows as of March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220"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24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78"/>
        </w:trPr>
        <w:tc>
          <w:tcPr>
            <w:tcW w:w="2240" w:type="dxa"/>
            <w:vAlign w:val="bottom"/>
            <w:shd w:val="clear" w:color="auto" w:fill="CCEECC"/>
          </w:tcPr>
          <w:p>
            <w:pPr>
              <w:spacing w:after="0" w:line="178" w:lineRule="exact"/>
              <w:rPr>
                <w:sz w:val="20"/>
                <w:szCs w:val="20"/>
                <w:color w:val="auto"/>
              </w:rPr>
            </w:pPr>
            <w:r>
              <w:rPr>
                <w:rFonts w:ascii="Times New Roman" w:cs="Times New Roman" w:eastAsia="Times New Roman" w:hAnsi="Times New Roman"/>
                <w:sz w:val="18"/>
                <w:szCs w:val="18"/>
                <w:color w:val="auto"/>
              </w:rPr>
              <w:t>Deferred tax asset attributable</w:t>
            </w:r>
          </w:p>
        </w:tc>
        <w:tc>
          <w:tcPr>
            <w:tcW w:w="10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8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4"/>
        </w:trPr>
        <w:tc>
          <w:tcPr>
            <w:tcW w:w="224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to:</w:t>
            </w:r>
          </w:p>
        </w:tc>
        <w:tc>
          <w:tcPr>
            <w:tcW w:w="1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8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4,774,000</w:t>
            </w:r>
          </w:p>
        </w:tc>
        <w:tc>
          <w:tcPr>
            <w:tcW w:w="60" w:type="dxa"/>
            <w:vAlign w:val="bottom"/>
          </w:tcPr>
          <w:p>
            <w:pPr>
              <w:spacing w:after="0"/>
              <w:rPr>
                <w:sz w:val="18"/>
                <w:szCs w:val="18"/>
                <w:color w:val="auto"/>
              </w:rPr>
            </w:pPr>
          </w:p>
        </w:tc>
      </w:tr>
      <w:tr>
        <w:trPr>
          <w:trHeight w:val="230"/>
        </w:trPr>
        <w:tc>
          <w:tcPr>
            <w:tcW w:w="22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(4,996,000)</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(4,774,000)</w:t>
            </w:r>
          </w:p>
        </w:tc>
      </w:tr>
      <w:tr>
        <w:trPr>
          <w:trHeight w:val="223"/>
        </w:trPr>
        <w:tc>
          <w:tcPr>
            <w:tcW w:w="2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deferred tax asset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change in ownership provisions of the Tax Reform Act of 1986, net operating loss carry forwards of approximately $14,371,000 for Federal income tax reporting purposes are subject to annual limitations. Should a change in ownership occur, net operating loss carry forwards may be limited as to use in future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consisted of the following for the three months ended March 31, 2014 and 2013, respectively:</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w w:val="97"/>
              </w:rPr>
              <w:t>March 31,</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380" w:type="dxa"/>
            <w:vAlign w:val="bottom"/>
            <w:tcBorders>
              <w:bottom w:val="single" w:sz="8" w:color="CCEE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Borders>
              <w:bottom w:val="single" w:sz="8" w:color="auto"/>
            </w:tcBorders>
          </w:tcPr>
          <w:p>
            <w:pPr>
              <w:spacing w:after="0"/>
              <w:rPr>
                <w:sz w:val="19"/>
                <w:szCs w:val="19"/>
                <w:color w:val="auto"/>
              </w:rPr>
            </w:pPr>
          </w:p>
        </w:tc>
      </w:tr>
      <w:tr>
        <w:trPr>
          <w:trHeight w:val="210"/>
        </w:trPr>
        <w:tc>
          <w:tcPr>
            <w:tcW w:w="23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20,407</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375,071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Rent</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Settlement expense</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30"/>
        </w:trPr>
        <w:tc>
          <w:tcPr>
            <w:tcW w:w="23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CC"/>
          </w:tcPr>
          <w:p>
            <w:pPr>
              <w:spacing w:after="0"/>
              <w:rPr>
                <w:sz w:val="19"/>
                <w:szCs w:val="19"/>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89,264</w:t>
            </w:r>
          </w:p>
        </w:tc>
        <w:tc>
          <w:tcPr>
            <w:tcW w:w="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60" w:type="dxa"/>
            <w:vAlign w:val="bottom"/>
            <w:shd w:val="clear" w:color="auto" w:fill="CCEECC"/>
          </w:tcPr>
          <w:p>
            <w:pPr>
              <w:spacing w:after="0"/>
              <w:rPr>
                <w:sz w:val="19"/>
                <w:szCs w:val="19"/>
                <w:color w:val="auto"/>
              </w:rPr>
            </w:pPr>
          </w:p>
        </w:tc>
      </w:tr>
      <w:tr>
        <w:trPr>
          <w:trHeight w:val="223"/>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733,969</w:t>
            </w:r>
          </w:p>
        </w:tc>
        <w:tc>
          <w:tcPr>
            <w:tcW w:w="6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RESTATEMENT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will now reflect the expense associated with the revenue from that particular quarter and year end. The Company will restate quarters 1 - 3 of 2013 as the 2014 quarterly statements are prepared. The full impact of the restatement is reflected in the December 31, 2013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Consolidated Balance Sheet, Consolidated Statement of Operations and Consolidated Statement of Cash Flows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2013 is as follows: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March 31, 2013</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940" w:type="dxa"/>
            <w:vAlign w:val="bottom"/>
            <w:tcBorders>
              <w:top w:val="single" w:sz="8" w:color="auto"/>
            </w:tcBorders>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Financial Statement</w:t>
            </w:r>
          </w:p>
        </w:tc>
        <w:tc>
          <w:tcPr>
            <w:tcW w:w="1580" w:type="dxa"/>
            <w:vAlign w:val="bottom"/>
            <w:tcBorders>
              <w:top w:val="single" w:sz="8" w:color="auto"/>
            </w:tcBorders>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Line Item</w:t>
            </w:r>
          </w:p>
        </w:tc>
        <w:tc>
          <w:tcPr>
            <w:tcW w:w="140" w:type="dxa"/>
            <w:vAlign w:val="bottom"/>
            <w:tcBorders>
              <w:top w:val="single" w:sz="8" w:color="CCEECC"/>
            </w:tcBorders>
            <w:shd w:val="clear" w:color="auto" w:fill="CCEECC"/>
          </w:tcPr>
          <w:p>
            <w:pPr>
              <w:spacing w:after="0"/>
              <w:rPr>
                <w:sz w:val="19"/>
                <w:szCs w:val="19"/>
                <w:color w:val="auto"/>
              </w:rPr>
            </w:pPr>
          </w:p>
        </w:tc>
        <w:tc>
          <w:tcPr>
            <w:tcW w:w="400" w:type="dxa"/>
            <w:vAlign w:val="bottom"/>
            <w:tcBorders>
              <w:top w:val="single" w:sz="8" w:color="CCEECC"/>
            </w:tcBorders>
            <w:shd w:val="clear" w:color="auto" w:fill="CCEECC"/>
          </w:tcPr>
          <w:p>
            <w:pPr>
              <w:spacing w:after="0"/>
              <w:rPr>
                <w:sz w:val="19"/>
                <w:szCs w:val="19"/>
                <w:color w:val="auto"/>
              </w:rPr>
            </w:pPr>
          </w:p>
        </w:tc>
        <w:tc>
          <w:tcPr>
            <w:tcW w:w="1180" w:type="dxa"/>
            <w:vAlign w:val="bottom"/>
            <w:tcBorders>
              <w:top w:val="single" w:sz="8" w:color="CCEECC"/>
            </w:tcBorders>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Corrected</w:t>
            </w:r>
          </w:p>
        </w:tc>
        <w:tc>
          <w:tcPr>
            <w:tcW w:w="80" w:type="dxa"/>
            <w:vAlign w:val="bottom"/>
            <w:tcBorders>
              <w:top w:val="single" w:sz="8" w:color="CCEECC"/>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CCEECC"/>
            </w:tcBorders>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Previously Stated</w:t>
            </w:r>
          </w:p>
        </w:tc>
      </w:tr>
      <w:tr>
        <w:trPr>
          <w:trHeight w:val="191"/>
        </w:trPr>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Revenue share</w:t>
            </w: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159,815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40,203</w:t>
            </w:r>
          </w:p>
        </w:tc>
      </w:tr>
      <w:tr>
        <w:trPr>
          <w:trHeight w:val="198"/>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from</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4"/>
        </w:trPr>
        <w:tc>
          <w:tcPr>
            <w:tcW w:w="194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operations</w:t>
            </w:r>
          </w:p>
        </w:tc>
        <w:tc>
          <w:tcPr>
            <w:tcW w:w="400" w:type="dxa"/>
            <w:vAlign w:val="bottom"/>
            <w:shd w:val="clear" w:color="auto" w:fill="CCEEC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(224,494)</w:t>
            </w:r>
          </w:p>
        </w:tc>
        <w:tc>
          <w:tcPr>
            <w:tcW w:w="2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(104,882)</w:t>
            </w: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before</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provision for</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(224,438)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(104,826)</w:t>
            </w:r>
          </w:p>
        </w:tc>
      </w:tr>
      <w:tr>
        <w:trPr>
          <w:trHeight w:val="216"/>
        </w:trPr>
        <w:tc>
          <w:tcPr>
            <w:tcW w:w="194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C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CC"/>
          </w:tcPr>
          <w:p>
            <w:pPr>
              <w:jc w:val="right"/>
              <w:ind w:right="80"/>
              <w:spacing w:after="0"/>
              <w:rPr>
                <w:sz w:val="20"/>
                <w:szCs w:val="20"/>
                <w:color w:val="auto"/>
              </w:rPr>
            </w:pPr>
            <w:r>
              <w:rPr>
                <w:rFonts w:ascii="Times New Roman" w:cs="Times New Roman" w:eastAsia="Times New Roman" w:hAnsi="Times New Roman"/>
                <w:sz w:val="18"/>
                <w:szCs w:val="18"/>
                <w:color w:val="auto"/>
              </w:rPr>
              <w:t>(224,438)</w:t>
            </w:r>
          </w:p>
        </w:tc>
        <w:tc>
          <w:tcPr>
            <w:tcW w:w="2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(104,826)</w:t>
            </w:r>
          </w:p>
        </w:tc>
      </w:tr>
      <w:tr>
        <w:trPr>
          <w:trHeight w:val="216"/>
        </w:trPr>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Statement of cash flows</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(224,438)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(104,826)</w:t>
            </w:r>
          </w:p>
        </w:tc>
      </w:tr>
      <w:tr>
        <w:trPr>
          <w:trHeight w:val="198"/>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198" w:lineRule="exact"/>
              <w:rPr>
                <w:sz w:val="20"/>
                <w:szCs w:val="20"/>
                <w:color w:val="auto"/>
              </w:rPr>
            </w:pPr>
            <w:r>
              <w:rPr>
                <w:rFonts w:ascii="Times New Roman" w:cs="Times New Roman" w:eastAsia="Times New Roman" w:hAnsi="Times New Roman"/>
                <w:sz w:val="18"/>
                <w:szCs w:val="18"/>
                <w:color w:val="auto"/>
              </w:rPr>
              <w:t>Increase in revenue</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4"/>
        </w:trPr>
        <w:tc>
          <w:tcPr>
            <w:tcW w:w="194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Statement of cash flows</w:t>
            </w:r>
          </w:p>
        </w:tc>
        <w:tc>
          <w:tcPr>
            <w:tcW w:w="1720" w:type="dxa"/>
            <w:vAlign w:val="bottom"/>
            <w:gridSpan w:val="2"/>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share payable</w:t>
            </w:r>
          </w:p>
        </w:tc>
        <w:tc>
          <w:tcPr>
            <w:tcW w:w="400" w:type="dxa"/>
            <w:vAlign w:val="bottom"/>
            <w:shd w:val="clear" w:color="auto" w:fill="CCEEC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119,612</w:t>
            </w:r>
          </w:p>
        </w:tc>
        <w:tc>
          <w:tcPr>
            <w:tcW w:w="22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18 – LAWSUIT SETTLEMENT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 This amount was included in operating expenses in the consolidated statement of operations for the three months ended March 31, 2014.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19 – SUBSEQUENT EVENTS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2014, the Company hired a new CFO. Per the terms of the employment agreement, the CFO will earn a salary of $125,000 per year and was granted 100,000 stock options as a signing bonus.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855-10, the Company has analyzed its operations subsequent to March 31, 2014 through the date these financial statements were issued and has determined that it does not have any material subsequent events to disclose in these financial statements other than the events described above.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2224B"/>
        </w:rPr>
        <w:t>Silberstein Ungar, PLLC CPAs and Business Advisors</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2224B"/>
        </w:rPr>
        <w:t>Phone (248) 203-0080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2224B"/>
        </w:rPr>
        <w:t>www.sucpas.com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Michigan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OptimizeRx Corporation as of December 31, 2013 and 2012,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OptimizeRx Corporation, as of December 31, 2013 and 2012 and the results of their operations and cash flows for the years then ended, in conformity with accounting principles generally accepted in the United States.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Silberstein Ungar, PLLC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Silberstein Ungar, PLLC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Bingham Farms,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December 31, 2013 and 2012</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(restated)</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C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1,118,243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Patent rights, net</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885,950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Web development costs, net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Security deposit</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Revenue share payable</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1,193,661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CC"/>
            </w:tcBorders>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770,522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shd w:val="clear" w:color="auto" w:fill="CCEECC"/>
          </w:tcPr>
          <w:p>
            <w:pPr>
              <w:ind w:left="3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 shares authorized,</w:t>
            </w:r>
          </w:p>
        </w:tc>
        <w:tc>
          <w:tcPr>
            <w:tcW w:w="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65 shares issued and outstanding</w:t>
            </w:r>
          </w:p>
        </w:tc>
        <w:tc>
          <w:tcPr>
            <w:tcW w:w="4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500,000,000 shares authorized,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14,773,496 and 14,232,496 shares issued and 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Stock warrants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18,148,049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20,058,051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(233,942)</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(24,616,220)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(24,832,067)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1,404,882</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29" w:right="137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for the Years</w:t>
      </w:r>
    </w:p>
    <w:p>
      <w:pPr>
        <w:spacing w:after="0" w:line="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Ended December 31, 2013 and 2012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For the 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gridSpan w:val="2"/>
            <w:shd w:val="clear" w:color="auto" w:fill="CCEEC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4,957,016</w:t>
            </w:r>
          </w:p>
        </w:tc>
        <w:tc>
          <w:tcPr>
            <w:tcW w:w="360" w:type="dxa"/>
            <w:vAlign w:val="bottom"/>
            <w:gridSpan w:val="3"/>
            <w:shd w:val="clear" w:color="auto" w:fill="CCEE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1,989,086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ind w:left="160"/>
              <w:spacing w:after="0"/>
              <w:rPr>
                <w:sz w:val="20"/>
                <w:szCs w:val="20"/>
                <w:color w:val="auto"/>
              </w:rPr>
            </w:pPr>
            <w:r>
              <w:rPr>
                <w:rFonts w:ascii="Times New Roman" w:cs="Times New Roman" w:eastAsia="Times New Roman" w:hAnsi="Times New Roman"/>
                <w:sz w:val="18"/>
                <w:szCs w:val="18"/>
                <w:color w:val="auto"/>
              </w:rPr>
              <w:t>REVENUE SHARE EXPENSE</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1,767,425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115,360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3,189,591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1,873,726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Operating expenses (See Note 17)</w:t>
            </w:r>
          </w:p>
        </w:tc>
        <w:tc>
          <w:tcPr>
            <w:tcW w:w="2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2,973,990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2,328,648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215,601</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(454,922</w:t>
            </w:r>
          </w:p>
        </w:tc>
        <w:tc>
          <w:tcPr>
            <w:tcW w:w="80" w:type="dxa"/>
            <w:vAlign w:val="bottom"/>
            <w:tcBorders>
              <w:bottom w:val="single" w:sz="8" w:color="CCEE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w w:val="99"/>
              </w:rPr>
              <w:t>INCOME (LOSS) BEFORE PROVISION FOR INCOME TAXES</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(454,553)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CC"/>
            </w:tcBorders>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215,847</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(454,553</w:t>
            </w:r>
          </w:p>
        </w:tc>
        <w:tc>
          <w:tcPr>
            <w:tcW w:w="80" w:type="dxa"/>
            <w:vAlign w:val="bottom"/>
            <w:tcBorders>
              <w:bottom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BASIC</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14,388,017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BASIC</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DILUTED</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DILUTED</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29" w:right="13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as of</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1160" w:type="dxa"/>
            <w:vAlign w:val="bottom"/>
          </w:tcPr>
          <w:p>
            <w:pPr>
              <w:spacing w:after="0"/>
              <w:rPr>
                <w:sz w:val="21"/>
                <w:szCs w:val="21"/>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Preferred Stock</w:t>
            </w:r>
          </w:p>
        </w:tc>
        <w:tc>
          <w:tcPr>
            <w:tcW w:w="17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Common Stock</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Stock</w:t>
            </w:r>
          </w:p>
        </w:tc>
        <w:tc>
          <w:tcPr>
            <w:tcW w:w="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Paid-in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7"/>
              </w:rPr>
              <w:t>Accumulated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Stockholders’</w:t>
            </w:r>
          </w:p>
        </w:tc>
      </w:tr>
      <w:tr>
        <w:trPr>
          <w:trHeight w:val="234"/>
        </w:trPr>
        <w:tc>
          <w:tcPr>
            <w:tcW w:w="1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Warrants</w:t>
            </w:r>
          </w:p>
        </w:tc>
        <w:tc>
          <w:tcPr>
            <w:tcW w:w="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Capital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Compensation</w:t>
            </w:r>
          </w:p>
        </w:tc>
        <w:tc>
          <w:tcPr>
            <w:tcW w:w="11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Deficit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Equity</w:t>
            </w:r>
          </w:p>
        </w:tc>
      </w:tr>
      <w:tr>
        <w:trPr>
          <w:trHeight w:val="178"/>
        </w:trPr>
        <w:tc>
          <w:tcPr>
            <w:tcW w:w="1160" w:type="dxa"/>
            <w:vAlign w:val="bottom"/>
            <w:tcBorders>
              <w:top w:val="single" w:sz="8" w:color="CCEECC"/>
            </w:tcBorders>
            <w:shd w:val="clear" w:color="auto" w:fill="CCEECC"/>
          </w:tcPr>
          <w:p>
            <w:pPr>
              <w:spacing w:after="0" w:line="178" w:lineRule="exact"/>
              <w:rPr>
                <w:sz w:val="20"/>
                <w:szCs w:val="20"/>
                <w:color w:val="auto"/>
              </w:rPr>
            </w:pPr>
            <w:r>
              <w:rPr>
                <w:rFonts w:ascii="Times New Roman" w:cs="Times New Roman" w:eastAsia="Times New Roman" w:hAnsi="Times New Roman"/>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34"/>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w w:val="99"/>
              </w:rPr>
              <w:t>January 1, 2012</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14,192,496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7"/>
              </w:rPr>
              <w:t>$20,826,934</w:t>
            </w:r>
          </w:p>
        </w:tc>
        <w:tc>
          <w:tcPr>
            <w:tcW w:w="9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$ 5,125,558</w:t>
            </w:r>
          </w:p>
        </w:tc>
        <w:tc>
          <w:tcPr>
            <w:tcW w:w="1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(24,377,514)$</w:t>
            </w: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1,589,170</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to employees</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150,367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150,367</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198"/>
        </w:trPr>
        <w:tc>
          <w:tcPr>
            <w:tcW w:w="11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consulting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75,098</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8"/>
        </w:trPr>
        <w:tc>
          <w:tcPr>
            <w:tcW w:w="11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4"/>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11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w w:val="99"/>
              </w:rPr>
              <w:t>Reclassification</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for options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previously</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recorded as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4"/>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(768,883)</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768,883</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for the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year (restated)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(454,553)</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78"/>
        </w:trPr>
        <w:tc>
          <w:tcPr>
            <w:tcW w:w="1160" w:type="dxa"/>
            <w:vAlign w:val="bottom"/>
            <w:tcBorders>
              <w:top w:val="single" w:sz="8" w:color="CCEECC"/>
            </w:tcBorders>
            <w:shd w:val="clear" w:color="auto" w:fill="CCEECC"/>
          </w:tcPr>
          <w:p>
            <w:pPr>
              <w:spacing w:after="0" w:line="178" w:lineRule="exact"/>
              <w:rPr>
                <w:sz w:val="20"/>
                <w:szCs w:val="20"/>
                <w:color w:val="auto"/>
              </w:rPr>
            </w:pPr>
            <w:r>
              <w:rPr>
                <w:rFonts w:ascii="Times New Roman" w:cs="Times New Roman" w:eastAsia="Times New Roman" w:hAnsi="Times New Roman"/>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16"/>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December 31,</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4"/>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2012 (restated)</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14,232,496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20,058,051</w:t>
            </w:r>
          </w:p>
        </w:tc>
        <w:tc>
          <w:tcPr>
            <w:tcW w:w="9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$ 6,164,666</w:t>
            </w:r>
          </w:p>
        </w:tc>
        <w:tc>
          <w:tcPr>
            <w:tcW w:w="1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(24,832,067)$</w:t>
            </w: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1,404,882</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to employees</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198"/>
        </w:trPr>
        <w:tc>
          <w:tcPr>
            <w:tcW w:w="11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consulting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8"/>
        </w:trPr>
        <w:tc>
          <w:tcPr>
            <w:tcW w:w="11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4"/>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1160" w:type="dxa"/>
            <w:vAlign w:val="bottom"/>
            <w:shd w:val="clear" w:color="auto" w:fill="CCEECC"/>
          </w:tcPr>
          <w:p>
            <w:pPr>
              <w:ind w:left="160"/>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employment</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4"/>
        </w:trPr>
        <w:tc>
          <w:tcPr>
            <w:tcW w:w="1160" w:type="dxa"/>
            <w:vAlign w:val="bottom"/>
            <w:shd w:val="clear" w:color="auto" w:fill="CCEECC"/>
          </w:tcPr>
          <w:p>
            <w:pPr>
              <w:ind w:left="160"/>
              <w:spacing w:after="0"/>
              <w:rPr>
                <w:sz w:val="20"/>
                <w:szCs w:val="20"/>
                <w:color w:val="auto"/>
              </w:rPr>
            </w:pPr>
            <w:r>
              <w:rPr>
                <w:rFonts w:ascii="Times New Roman" w:cs="Times New Roman" w:eastAsia="Times New Roman" w:hAnsi="Times New Roman"/>
                <w:sz w:val="18"/>
                <w:szCs w:val="18"/>
                <w:color w:val="auto"/>
              </w:rPr>
              <w:t>severance</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504,500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9"/>
              </w:rPr>
              <w:t>(505,000)</w:t>
            </w:r>
          </w:p>
        </w:tc>
        <w:tc>
          <w:tcPr>
            <w:tcW w:w="9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198"/>
        </w:trPr>
        <w:tc>
          <w:tcPr>
            <w:tcW w:w="11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for correction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prior issue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8"/>
        </w:trPr>
        <w:tc>
          <w:tcPr>
            <w:tcW w:w="11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Reclassify</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expired</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4"/>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7"/>
              </w:rPr>
              <w:t>(1,910,002)</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w w:val="99"/>
              </w:rPr>
              <w:t>1,910,002</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consulting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8"/>
        </w:trPr>
        <w:tc>
          <w:tcPr>
            <w:tcW w:w="1160" w:type="dxa"/>
            <w:vAlign w:val="bottom"/>
            <w:shd w:val="clear" w:color="auto" w:fill="CCEECC"/>
          </w:tcPr>
          <w:p>
            <w:pPr>
              <w:spacing w:after="0" w:line="198" w:lineRule="exact"/>
              <w:rPr>
                <w:sz w:val="20"/>
                <w:szCs w:val="20"/>
                <w:color w:val="auto"/>
              </w:rPr>
            </w:pPr>
            <w:r>
              <w:rPr>
                <w:rFonts w:ascii="Times New Roman" w:cs="Times New Roman" w:eastAsia="Times New Roman" w:hAnsi="Times New Roman"/>
                <w:sz w:val="18"/>
                <w:szCs w:val="18"/>
                <w:color w:val="auto"/>
              </w:rPr>
              <w:t>Net income 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48"/>
        </w:trPr>
        <w:tc>
          <w:tcPr>
            <w:tcW w:w="1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the period</w:t>
            </w:r>
          </w:p>
        </w:tc>
        <w:tc>
          <w:tcPr>
            <w:tcW w:w="7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215,847</w:t>
            </w: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215,847</w:t>
            </w:r>
          </w:p>
        </w:tc>
        <w:tc>
          <w:tcPr>
            <w:tcW w:w="6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66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60" w:type="dxa"/>
            <w:vAlign w:val="bottom"/>
            <w:tcBorders>
              <w:bottom w:val="single" w:sz="8" w:color="auto"/>
            </w:tcBorders>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9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20" w:type="dxa"/>
            <w:vAlign w:val="bottom"/>
            <w:tcBorders>
              <w:bottom w:val="single" w:sz="8" w:color="auto"/>
            </w:tcBorders>
            <w:shd w:val="clear" w:color="auto" w:fill="CCEECC"/>
          </w:tcPr>
          <w:p>
            <w:pPr>
              <w:spacing w:after="0"/>
              <w:rPr>
                <w:sz w:val="21"/>
                <w:szCs w:val="21"/>
                <w:color w:val="auto"/>
              </w:rPr>
            </w:pPr>
          </w:p>
        </w:tc>
      </w:tr>
      <w:tr>
        <w:trPr>
          <w:trHeight w:val="178"/>
        </w:trPr>
        <w:tc>
          <w:tcPr>
            <w:tcW w:w="11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Balance,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14,773,496</w:t>
            </w:r>
          </w:p>
        </w:tc>
        <w:tc>
          <w:tcPr>
            <w:tcW w:w="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18,148,049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$ 8,726,708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(233,942)$</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(24,616,220)$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2,039,368</w:t>
            </w:r>
          </w:p>
        </w:tc>
      </w:tr>
      <w:tr>
        <w:trPr>
          <w:trHeight w:val="20"/>
        </w:trPr>
        <w:tc>
          <w:tcPr>
            <w:tcW w:w="1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229" w:right="9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for the Years</w:t>
      </w:r>
    </w:p>
    <w:p>
      <w:pPr>
        <w:spacing w:after="0" w:line="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Ended December 31, 2013 and 2012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For the year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December 31, 2013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31, 2012</w:t>
            </w:r>
          </w:p>
        </w:tc>
        <w:tc>
          <w:tcPr>
            <w:tcW w:w="0" w:type="dxa"/>
            <w:vAlign w:val="bottom"/>
          </w:tcPr>
          <w:p>
            <w:pPr>
              <w:spacing w:after="0"/>
              <w:rPr>
                <w:sz w:val="1"/>
                <w:szCs w:val="1"/>
                <w:color w:val="auto"/>
              </w:rPr>
            </w:pPr>
          </w:p>
        </w:tc>
      </w:tr>
      <w:tr>
        <w:trPr>
          <w:trHeight w:val="22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(restated)</w:t>
            </w:r>
          </w:p>
        </w:tc>
        <w:tc>
          <w:tcPr>
            <w:tcW w:w="0" w:type="dxa"/>
            <w:vAlign w:val="bottom"/>
          </w:tcPr>
          <w:p>
            <w:pPr>
              <w:spacing w:after="0"/>
              <w:rPr>
                <w:sz w:val="1"/>
                <w:szCs w:val="1"/>
                <w:color w:val="auto"/>
              </w:rPr>
            </w:pPr>
          </w:p>
        </w:tc>
      </w:tr>
      <w:tr>
        <w:trPr>
          <w:trHeight w:val="198"/>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300" w:type="dxa"/>
            <w:vAlign w:val="bottom"/>
            <w:gridSpan w:val="2"/>
            <w:shd w:val="clear" w:color="auto" w:fill="CCEEC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(454,553)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193,791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187,104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issued 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Stock options issued for services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Bad debt expense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Changes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(950,166)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134,046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(282,019)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(281,353)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Borders>
              <w:top w:val="single" w:sz="8" w:color="CCEECC"/>
            </w:tcBorders>
            <w:shd w:val="clear" w:color="auto" w:fill="CCEEC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1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1,132,628</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(624,033)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Patent rights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Web development costs</w:t>
            </w:r>
          </w:p>
        </w:tc>
        <w:tc>
          <w:tcPr>
            <w:tcW w:w="1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(148,060)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(48,640)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20" w:type="dxa"/>
            <w:vAlign w:val="bottom"/>
            <w:shd w:val="clear" w:color="auto" w:fill="CCEE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w:t>
            </w:r>
          </w:p>
        </w:tc>
        <w:tc>
          <w:tcPr>
            <w:tcW w:w="12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17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20" w:type="dxa"/>
            <w:vAlign w:val="bottom"/>
            <w:shd w:val="clear" w:color="auto" w:fill="CCEECC"/>
          </w:tcPr>
          <w:p>
            <w:pPr>
              <w:spacing w:after="0"/>
              <w:rPr>
                <w:sz w:val="16"/>
                <w:szCs w:val="16"/>
                <w:color w:val="auto"/>
              </w:rPr>
            </w:pPr>
          </w:p>
        </w:tc>
        <w:tc>
          <w:tcPr>
            <w:tcW w:w="180" w:type="dxa"/>
            <w:vAlign w:val="bottom"/>
            <w:shd w:val="clear" w:color="auto" w:fill="CCEECC"/>
          </w:tcPr>
          <w:p>
            <w:pPr>
              <w:spacing w:after="0"/>
              <w:rPr>
                <w:sz w:val="16"/>
                <w:szCs w:val="16"/>
                <w:color w:val="auto"/>
              </w:rPr>
            </w:pPr>
          </w:p>
        </w:tc>
        <w:tc>
          <w:tcPr>
            <w:tcW w:w="172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833,980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8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(674,903)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 BEGINNING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CC"/>
              <w:bottom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1,118,243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284,263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gridSpan w:val="2"/>
            <w:shd w:val="clear" w:color="auto" w:fill="CCEEC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0" w:type="dxa"/>
            <w:vAlign w:val="bottom"/>
            <w:gridSpan w:val="2"/>
            <w:shd w:val="clear" w:color="auto" w:fill="CCEEC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CC"/>
              <w:bottom w:val="single" w:sz="8" w:color="CCEECC"/>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20" w:type="dxa"/>
            <w:vAlign w:val="bottom"/>
            <w:shd w:val="clear" w:color="auto" w:fill="CCEECC"/>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SUPPLEMENTAL DISCLOSURE OF NONCASH</w:t>
            </w:r>
          </w:p>
        </w:tc>
        <w:tc>
          <w:tcPr>
            <w:tcW w:w="12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174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20" w:type="dxa"/>
            <w:vAlign w:val="bottom"/>
            <w:shd w:val="clear" w:color="auto" w:fill="CCEECC"/>
          </w:tcPr>
          <w:p>
            <w:pPr>
              <w:spacing w:after="0"/>
              <w:rPr>
                <w:sz w:val="12"/>
                <w:szCs w:val="12"/>
                <w:color w:val="auto"/>
              </w:rPr>
            </w:pPr>
          </w:p>
        </w:tc>
        <w:tc>
          <w:tcPr>
            <w:tcW w:w="180" w:type="dxa"/>
            <w:vAlign w:val="bottom"/>
            <w:shd w:val="clear" w:color="auto" w:fill="CCEECC"/>
          </w:tcPr>
          <w:p>
            <w:pPr>
              <w:spacing w:after="0"/>
              <w:rPr>
                <w:sz w:val="12"/>
                <w:szCs w:val="12"/>
                <w:color w:val="auto"/>
              </w:rPr>
            </w:pPr>
          </w:p>
        </w:tc>
        <w:tc>
          <w:tcPr>
            <w:tcW w:w="1720" w:type="dxa"/>
            <w:vAlign w:val="bottom"/>
            <w:shd w:val="clear" w:color="auto" w:fill="CCEECC"/>
          </w:tcPr>
          <w:p>
            <w:pPr>
              <w:spacing w:after="0"/>
              <w:rPr>
                <w:sz w:val="12"/>
                <w:szCs w:val="12"/>
                <w:color w:val="auto"/>
              </w:rPr>
            </w:pPr>
          </w:p>
        </w:tc>
        <w:tc>
          <w:tcPr>
            <w:tcW w:w="80" w:type="dxa"/>
            <w:vAlign w:val="bottom"/>
            <w:shd w:val="clear" w:color="auto" w:fill="CCEECC"/>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b w:val="1"/>
                <w:bCs w:val="1"/>
                <w:color w:val="auto"/>
              </w:rPr>
              <w:t>INVESTING AND FINANCING ACTIVITIES: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issued for future services</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29" w:right="13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accordance with generally accepted accounting principles in the United States of America and are presented in US dollars.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Basis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accompanying financial statements, the Company considers all highly liquid instruments with an initial maturity of three months or less to be cash equivalents.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and $6,923 for the years ended December 31, 2013 and 2012, respectively. The allowance for doubtful accounts was $0 as of December 31, 2013 and 2012.</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capital assets are being depreciated over their estimated useful lives, three to seven years using the straight-line method of depreciation for book purposes.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and Revenue Share Expense</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 See Note 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Common and Common Equivalent Share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diluted earnings per share calculation for the year ended December 31, 2013. They have not been included in the diluted earnings per share calculation for the year ended December 31, 2012 since their effect is anti-dilutive.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operations, financial position or cash flow.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December 31,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920" w:type="dxa"/>
            <w:vAlign w:val="bottom"/>
            <w:tcBorders>
              <w:bottom w:val="single" w:sz="8" w:color="CCEECC"/>
            </w:tcBorders>
          </w:tcPr>
          <w:p>
            <w:pPr>
              <w:spacing w:after="0"/>
              <w:rPr>
                <w:sz w:val="20"/>
                <w:szCs w:val="20"/>
                <w:color w:val="auto"/>
              </w:rPr>
            </w:pPr>
          </w:p>
        </w:tc>
        <w:tc>
          <w:tcPr>
            <w:tcW w:w="5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2012</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5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tcBorders>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20" w:type="dxa"/>
            <w:vAlign w:val="bottom"/>
            <w:tcBorders>
              <w:bottom w:val="single" w:sz="8" w:color="CCEECC"/>
            </w:tcBorders>
          </w:tcPr>
          <w:p>
            <w:pPr>
              <w:ind w:left="80"/>
              <w:spacing w:after="0"/>
              <w:rPr>
                <w:sz w:val="20"/>
                <w:szCs w:val="20"/>
                <w:color w:val="auto"/>
              </w:rPr>
            </w:pPr>
            <w:r>
              <w:rPr>
                <w:rFonts w:ascii="Times New Roman" w:cs="Times New Roman" w:eastAsia="Times New Roman" w:hAnsi="Times New Roman"/>
                <w:sz w:val="18"/>
                <w:szCs w:val="18"/>
                <w:color w:val="auto"/>
              </w:rPr>
              <w:t>Legal</w:t>
            </w:r>
          </w:p>
        </w:tc>
        <w:tc>
          <w:tcPr>
            <w:tcW w:w="50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20" w:type="dxa"/>
            <w:vAlign w:val="bottom"/>
            <w:tcBorders>
              <w:bottom w:val="single" w:sz="8" w:color="CCEECC"/>
            </w:tcBorders>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Total prepaid expenses</w:t>
            </w:r>
          </w:p>
        </w:tc>
        <w:tc>
          <w:tcPr>
            <w:tcW w:w="50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68,158</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F-24</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18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(12,763)</w:t>
            </w:r>
          </w:p>
        </w:tc>
      </w:tr>
      <w:tr>
        <w:trPr>
          <w:trHeight w:val="223"/>
        </w:trPr>
        <w:tc>
          <w:tcPr>
            <w:tcW w:w="240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shd w:val="clear" w:color="auto" w:fill="CCEEC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$5,628 and $5,476 for the years ended December 31, 2013 and 2012,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developing their web-based technology, which consisted of the following as of December 31, 2013 and 2012:</w:t>
      </w:r>
    </w:p>
    <w:p>
      <w:pPr>
        <w:spacing w:after="0" w:line="239" w:lineRule="exact"/>
        <w:rPr>
          <w:sz w:val="20"/>
          <w:szCs w:val="20"/>
          <w:color w:val="auto"/>
        </w:rPr>
      </w:pPr>
    </w:p>
    <w:tbl>
      <w:tblPr>
        <w:tblLayout w:type="fixed"/>
        <w:tblInd w:w="3160" w:type="dxa"/>
        <w:tblCellMar>
          <w:top w:w="0" w:type="dxa"/>
          <w:left w:w="0" w:type="dxa"/>
          <w:bottom w:w="0" w:type="dxa"/>
          <w:right w:w="0" w:type="dxa"/>
        </w:tblCellMar>
      </w:tblPr>
      <w:tr>
        <w:trPr>
          <w:trHeight w:val="234"/>
        </w:trPr>
        <w:tc>
          <w:tcPr>
            <w:tcW w:w="264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72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OptimizeRx web-based technology</w:t>
            </w:r>
          </w:p>
        </w:tc>
        <w:tc>
          <w:tcPr>
            <w:tcW w:w="240" w:type="dxa"/>
            <w:vAlign w:val="bottom"/>
            <w:shd w:val="clear" w:color="auto" w:fill="CCEE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154,133</w:t>
            </w:r>
          </w:p>
        </w:tc>
        <w:tc>
          <w:tcPr>
            <w:tcW w:w="60" w:type="dxa"/>
            <w:vAlign w:val="bottom"/>
            <w:shd w:val="clear" w:color="auto" w:fill="CCEECC"/>
          </w:tcPr>
          <w:p>
            <w:pPr>
              <w:spacing w:after="0"/>
              <w:rPr>
                <w:sz w:val="18"/>
                <w:szCs w:val="18"/>
                <w:color w:val="auto"/>
              </w:rPr>
            </w:pPr>
          </w:p>
        </w:tc>
      </w:tr>
      <w:tr>
        <w:trPr>
          <w:trHeight w:val="216"/>
        </w:trPr>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SampleMD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602,517</w:t>
            </w:r>
          </w:p>
        </w:tc>
        <w:tc>
          <w:tcPr>
            <w:tcW w:w="60" w:type="dxa"/>
            <w:vAlign w:val="bottom"/>
          </w:tcPr>
          <w:p>
            <w:pPr>
              <w:spacing w:after="0"/>
              <w:rPr>
                <w:sz w:val="18"/>
                <w:szCs w:val="18"/>
                <w:color w:val="auto"/>
              </w:rPr>
            </w:pPr>
          </w:p>
        </w:tc>
      </w:tr>
      <w:tr>
        <w:trPr>
          <w:trHeight w:val="198"/>
        </w:trPr>
        <w:tc>
          <w:tcPr>
            <w:tcW w:w="2640" w:type="dxa"/>
            <w:vAlign w:val="bottom"/>
            <w:shd w:val="clear" w:color="auto" w:fill="CCEECC"/>
          </w:tcPr>
          <w:p>
            <w:pPr>
              <w:ind w:left="80"/>
              <w:spacing w:after="0" w:line="198" w:lineRule="exact"/>
              <w:rPr>
                <w:sz w:val="20"/>
                <w:szCs w:val="20"/>
                <w:color w:val="auto"/>
              </w:rPr>
            </w:pPr>
            <w:r>
              <w:rPr>
                <w:rFonts w:ascii="Times New Roman" w:cs="Times New Roman" w:eastAsia="Times New Roman" w:hAnsi="Times New Roman"/>
                <w:sz w:val="18"/>
                <w:szCs w:val="18"/>
                <w:color w:val="auto"/>
              </w:rPr>
              <w:t>SampleMD 2.0 web-based</w:t>
            </w:r>
          </w:p>
        </w:tc>
        <w:tc>
          <w:tcPr>
            <w:tcW w:w="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8"/>
        </w:trPr>
        <w:tc>
          <w:tcPr>
            <w:tcW w:w="26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8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148,060</w:t>
            </w:r>
          </w:p>
        </w:tc>
        <w:tc>
          <w:tcPr>
            <w:tcW w:w="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21"/>
                <w:szCs w:val="21"/>
                <w:color w:val="auto"/>
              </w:rPr>
            </w:pPr>
          </w:p>
        </w:tc>
      </w:tr>
      <w:tr>
        <w:trPr>
          <w:trHeight w:val="210"/>
        </w:trPr>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Subtotal,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756,650</w:t>
            </w:r>
          </w:p>
        </w:tc>
        <w:tc>
          <w:tcPr>
            <w:tcW w:w="60" w:type="dxa"/>
            <w:vAlign w:val="bottom"/>
          </w:tcPr>
          <w:p>
            <w:pPr>
              <w:spacing w:after="0"/>
              <w:rPr>
                <w:sz w:val="18"/>
                <w:szCs w:val="18"/>
                <w:color w:val="auto"/>
              </w:rPr>
            </w:pPr>
          </w:p>
        </w:tc>
      </w:tr>
      <w:tr>
        <w:trPr>
          <w:trHeight w:val="216"/>
        </w:trPr>
        <w:tc>
          <w:tcPr>
            <w:tcW w:w="264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(440,641)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(310,352)</w:t>
            </w:r>
          </w:p>
        </w:tc>
      </w:tr>
      <w:tr>
        <w:trPr>
          <w:trHeight w:val="230"/>
        </w:trPr>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Times New Roman" w:cs="Times New Roman" w:eastAsia="Times New Roman" w:hAnsi="Times New Roman"/>
                <w:sz w:val="18"/>
                <w:szCs w:val="18"/>
                <w:color w:val="auto"/>
              </w:rPr>
              <w:t>Web-based technology, net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387,215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is recorded using the straight-line method over a period of five years. The Company is currently developing enhanced SampleMD web-based technology and has capitalized $148,060. The development is currently in process. It was not completed at December 31, 2013. Accordingly, no amortization has been recorded. The development is expected to be completed in 2014. Amortization expense for the web-based technology costs was $130,289 and $126,923 for the years ended December 31,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AND TRADEMARKS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purchasing and defending the SampleMD patent, which consisted of the following as of December 31, 2013 and 2012:</w:t>
      </w:r>
    </w:p>
    <w:p>
      <w:pPr>
        <w:spacing w:after="0" w:line="239" w:lineRule="exact"/>
        <w:rPr>
          <w:sz w:val="20"/>
          <w:szCs w:val="20"/>
          <w:color w:val="auto"/>
        </w:rPr>
      </w:pPr>
    </w:p>
    <w:tbl>
      <w:tblPr>
        <w:tblLayout w:type="fixed"/>
        <w:tblInd w:w="3160" w:type="dxa"/>
        <w:tblCellMar>
          <w:top w:w="0" w:type="dxa"/>
          <w:left w:w="0" w:type="dxa"/>
          <w:bottom w:w="0" w:type="dxa"/>
          <w:right w:w="0" w:type="dxa"/>
        </w:tblCellMar>
      </w:tblPr>
      <w:tr>
        <w:trPr>
          <w:trHeight w:val="234"/>
        </w:trPr>
        <w:tc>
          <w:tcPr>
            <w:tcW w:w="262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Patent rights and intangible assets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60" w:type="dxa"/>
            <w:vAlign w:val="bottom"/>
            <w:shd w:val="clear" w:color="auto" w:fill="CCEECC"/>
          </w:tcPr>
          <w:p>
            <w:pPr>
              <w:spacing w:after="0"/>
              <w:rPr>
                <w:sz w:val="18"/>
                <w:szCs w:val="18"/>
                <w:color w:val="auto"/>
              </w:rPr>
            </w:pPr>
          </w:p>
        </w:tc>
      </w:tr>
      <w:tr>
        <w:trPr>
          <w:trHeight w:val="216"/>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 defense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26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New patents and trademarks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62,595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(136,764)</w:t>
            </w:r>
          </w:p>
        </w:tc>
      </w:tr>
      <w:tr>
        <w:trPr>
          <w:trHeight w:val="178"/>
        </w:trPr>
        <w:tc>
          <w:tcPr>
            <w:tcW w:w="2620" w:type="dxa"/>
            <w:vAlign w:val="bottom"/>
            <w:tcBorders>
              <w:top w:val="single" w:sz="8" w:color="CCEECC"/>
            </w:tcBorders>
            <w:shd w:val="clear" w:color="auto" w:fill="CCEECC"/>
          </w:tcPr>
          <w:p>
            <w:pPr>
              <w:ind w:left="260"/>
              <w:spacing w:after="0" w:line="178" w:lineRule="exact"/>
              <w:rPr>
                <w:sz w:val="20"/>
                <w:szCs w:val="20"/>
                <w:color w:val="auto"/>
              </w:rPr>
            </w:pPr>
            <w:r>
              <w:rPr>
                <w:rFonts w:ascii="Times New Roman" w:cs="Times New Roman" w:eastAsia="Times New Roman" w:hAnsi="Times New Roman"/>
                <w:sz w:val="18"/>
                <w:szCs w:val="18"/>
                <w:color w:val="auto"/>
              </w:rPr>
              <w:t>Patent rights and intangible</w:t>
            </w:r>
          </w:p>
        </w:tc>
        <w:tc>
          <w:tcPr>
            <w:tcW w:w="10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61"/>
        </w:trPr>
        <w:tc>
          <w:tcPr>
            <w:tcW w:w="26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assets, net</w:t>
            </w:r>
          </w:p>
        </w:tc>
        <w:tc>
          <w:tcPr>
            <w:tcW w:w="340" w:type="dxa"/>
            <w:vAlign w:val="bottom"/>
            <w:gridSpan w:val="2"/>
            <w:shd w:val="clear" w:color="auto" w:fill="CCEEC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885,950</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793,236</w:t>
            </w:r>
          </w:p>
        </w:tc>
        <w:tc>
          <w:tcPr>
            <w:tcW w:w="60" w:type="dxa"/>
            <w:vAlign w:val="bottom"/>
            <w:shd w:val="clear" w:color="auto" w:fill="CCEECC"/>
          </w:tcPr>
          <w:p>
            <w:pPr>
              <w:spacing w:after="0"/>
              <w:rPr>
                <w:sz w:val="22"/>
                <w:szCs w:val="22"/>
                <w:color w:val="auto"/>
              </w:rPr>
            </w:pPr>
          </w:p>
        </w:tc>
      </w:tr>
      <w:tr>
        <w:trPr>
          <w:trHeight w:val="20"/>
        </w:trPr>
        <w:tc>
          <w:tcPr>
            <w:tcW w:w="26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AND TRADEMARKS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$57,874 and $54,705 for the years ended December 31,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ACCRUED EXPENSES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Accrued expenses at December 31, 2013 and 2012 consisted of amounts owed to the Company’s outside independent auditors for services rendered for periods reported on in these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$4,252 and $49,252 as of December 31,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OptimizeRx Corporation has 500,000,000 shares of $.001 par value common stock authorized as of December 31, 2013. There were 14,773,496 and 14,232,496 common shares issued and outstanding at December 31, 2013 and 2012,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$174,808 of that amount remains as deferred stock compensation as of December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Preferred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during the years ended December 31, 2012 and 2011,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$91,811 and $8,346 during the years ended December 31, 2012 and 2011,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$31,672 and $8,335 during the years ended December 31, 2013 and 2012,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30, 2013, the Company issued 50,000 stock options to 6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The remaining balance will be recognized during 2014.</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STOCK OPTIONS AND WARRANTS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2013, the Company issued 75,000 stock options to 2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during the three months ended December 31, 2013. The remaining balance of $59,134 has been recorded as deferred stock compensation and will be recognized during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Number of Options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178"/>
        </w:trPr>
        <w:tc>
          <w:tcPr>
            <w:tcW w:w="1900" w:type="dxa"/>
            <w:vAlign w:val="bottom"/>
            <w:gridSpan w:val="2"/>
            <w:shd w:val="clear" w:color="auto" w:fill="CCEECC"/>
          </w:tcPr>
          <w:p>
            <w:pPr>
              <w:ind w:left="40"/>
              <w:spacing w:after="0" w:line="178" w:lineRule="exact"/>
              <w:rPr>
                <w:sz w:val="20"/>
                <w:szCs w:val="20"/>
                <w:color w:val="auto"/>
              </w:rPr>
            </w:pPr>
            <w:r>
              <w:rPr>
                <w:rFonts w:ascii="Times New Roman" w:cs="Times New Roman" w:eastAsia="Times New Roman" w:hAnsi="Times New Roman"/>
                <w:sz w:val="18"/>
                <w:szCs w:val="18"/>
                <w:color w:val="auto"/>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4"/>
        </w:trPr>
        <w:tc>
          <w:tcPr>
            <w:tcW w:w="1780" w:type="dxa"/>
            <w:vAlign w:val="bottom"/>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 - 2012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Expired – 2012</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191"/>
        </w:trPr>
        <w:tc>
          <w:tcPr>
            <w:tcW w:w="1780" w:type="dxa"/>
            <w:vAlign w:val="bottom"/>
            <w:tcBorders>
              <w:top w:val="single" w:sz="8" w:color="auto"/>
            </w:tcBorders>
            <w:shd w:val="clear" w:color="auto" w:fill="CCEECC"/>
          </w:tcPr>
          <w:p>
            <w:pPr>
              <w:ind w:left="220"/>
              <w:spacing w:after="0" w:line="191" w:lineRule="exact"/>
              <w:rPr>
                <w:sz w:val="20"/>
                <w:szCs w:val="20"/>
                <w:color w:val="auto"/>
              </w:rPr>
            </w:pPr>
            <w:r>
              <w:rPr>
                <w:rFonts w:ascii="Times New Roman" w:cs="Times New Roman" w:eastAsia="Times New Roman" w:hAnsi="Times New Roman"/>
                <w:sz w:val="18"/>
                <w:szCs w:val="18"/>
                <w:color w:val="auto"/>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780" w:type="dxa"/>
            <w:vAlign w:val="bottom"/>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 – 2013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Expired – 2013</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r>
      <w:tr>
        <w:trPr>
          <w:trHeight w:val="191"/>
        </w:trPr>
        <w:tc>
          <w:tcPr>
            <w:tcW w:w="1780" w:type="dxa"/>
            <w:vAlign w:val="bottom"/>
            <w:tcBorders>
              <w:top w:val="single" w:sz="8" w:color="auto"/>
            </w:tcBorders>
            <w:shd w:val="clear" w:color="auto" w:fill="CCEECC"/>
          </w:tcPr>
          <w:p>
            <w:pPr>
              <w:ind w:left="220"/>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90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warrants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34"/>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Number of Warrants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178"/>
        </w:trPr>
        <w:tc>
          <w:tcPr>
            <w:tcW w:w="1900" w:type="dxa"/>
            <w:vAlign w:val="bottom"/>
            <w:gridSpan w:val="2"/>
            <w:shd w:val="clear" w:color="auto" w:fill="CCEECC"/>
          </w:tcPr>
          <w:p>
            <w:pPr>
              <w:ind w:left="40"/>
              <w:spacing w:after="0" w:line="178" w:lineRule="exact"/>
              <w:rPr>
                <w:sz w:val="20"/>
                <w:szCs w:val="20"/>
                <w:color w:val="auto"/>
              </w:rPr>
            </w:pPr>
            <w:r>
              <w:rPr>
                <w:rFonts w:ascii="Times New Roman" w:cs="Times New Roman" w:eastAsia="Times New Roman" w:hAnsi="Times New Roman"/>
                <w:sz w:val="18"/>
                <w:szCs w:val="18"/>
                <w:color w:val="auto"/>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4"/>
        </w:trPr>
        <w:tc>
          <w:tcPr>
            <w:tcW w:w="1780" w:type="dxa"/>
            <w:vAlign w:val="bottom"/>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14,344,434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 - 2012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Expired - 2012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r>
      <w:tr>
        <w:trPr>
          <w:trHeight w:val="191"/>
        </w:trPr>
        <w:tc>
          <w:tcPr>
            <w:tcW w:w="1780" w:type="dxa"/>
            <w:vAlign w:val="bottom"/>
            <w:tcBorders>
              <w:top w:val="single" w:sz="8" w:color="auto"/>
            </w:tcBorders>
            <w:shd w:val="clear" w:color="auto" w:fill="CCEECC"/>
          </w:tcPr>
          <w:p>
            <w:pPr>
              <w:ind w:left="220"/>
              <w:spacing w:after="0" w:line="191" w:lineRule="exact"/>
              <w:rPr>
                <w:sz w:val="20"/>
                <w:szCs w:val="20"/>
                <w:color w:val="auto"/>
              </w:rPr>
            </w:pPr>
            <w:r>
              <w:rPr>
                <w:rFonts w:ascii="Times New Roman" w:cs="Times New Roman" w:eastAsia="Times New Roman" w:hAnsi="Times New Roman"/>
                <w:sz w:val="18"/>
                <w:szCs w:val="18"/>
                <w:color w:val="auto"/>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780" w:type="dxa"/>
            <w:vAlign w:val="bottom"/>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14,344,434</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 - 2013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Expired - 2013</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(686,100)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r>
      <w:tr>
        <w:trPr>
          <w:trHeight w:val="191"/>
        </w:trPr>
        <w:tc>
          <w:tcPr>
            <w:tcW w:w="1780" w:type="dxa"/>
            <w:vAlign w:val="bottom"/>
            <w:tcBorders>
              <w:top w:val="single" w:sz="8" w:color="auto"/>
            </w:tcBorders>
            <w:shd w:val="clear" w:color="auto" w:fill="CCEECC"/>
          </w:tcPr>
          <w:p>
            <w:pPr>
              <w:ind w:left="220"/>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4"/>
        </w:trPr>
        <w:tc>
          <w:tcPr>
            <w:tcW w:w="1900" w:type="dxa"/>
            <w:vAlign w:val="bottom"/>
            <w:gridSpan w:val="2"/>
            <w:shd w:val="clear" w:color="auto" w:fill="CCEECC"/>
          </w:tcPr>
          <w:p>
            <w:pPr>
              <w:ind w:left="40"/>
              <w:spacing w:after="0"/>
              <w:rPr>
                <w:sz w:val="20"/>
                <w:szCs w:val="20"/>
                <w:color w:val="auto"/>
              </w:rPr>
            </w:pPr>
            <w:r>
              <w:rPr>
                <w:rFonts w:ascii="Times New Roman" w:cs="Times New Roman" w:eastAsia="Times New Roman" w:hAnsi="Times New Roman"/>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13,658,334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OPERATING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60" w:type="dxa"/>
            <w:vAlign w:val="bottom"/>
            <w:gridSpan w:val="2"/>
            <w:shd w:val="clear" w:color="auto" w:fill="CCEEC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55,542</w:t>
            </w:r>
          </w:p>
        </w:tc>
        <w:tc>
          <w:tcPr>
            <w:tcW w:w="372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lease commitment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6"/>
        </w:trPr>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28"/>
        </w:trPr>
        <w:tc>
          <w:tcPr>
            <w:tcW w:w="3720" w:type="dxa"/>
            <w:vAlign w:val="bottom"/>
          </w:tcPr>
          <w:p>
            <w:pPr>
              <w:spacing w:after="0"/>
              <w:rPr>
                <w:sz w:val="19"/>
                <w:szCs w:val="19"/>
                <w:color w:val="auto"/>
              </w:rPr>
            </w:pPr>
          </w:p>
        </w:tc>
        <w:tc>
          <w:tcPr>
            <w:tcW w:w="30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F-30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ectPr>
          <w:pgSz w:w="11900" w:h="16838" w:orient="portrait"/>
          <w:cols w:equalWidth="0" w:num="1">
            <w:col w:w="11420"/>
          </w:cols>
          <w:pgMar w:left="240" w:top="229"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MAJOR CUSTOMERS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two major customers that accounted for 58% and two major customers that accounted for 52% of the Company’s revenues for the years ended December 31, 2013 and 2012, respectively. The Company expects to continue to maintain these relationships with the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2013, the Company incurred net income of approximately $216,000 but has no tax liability. The Company began operations in 2007 and has previous net operating loss carry-forwards of approximately $13,934,000 through December 31, 2012. The cumulative loss of approximately $13,718,000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years ended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benefit attributable 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Current operations</w:t>
            </w:r>
          </w:p>
        </w:tc>
        <w:tc>
          <w:tcPr>
            <w:tcW w:w="36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(73,000)</w:t>
            </w:r>
          </w:p>
        </w:tc>
        <w:tc>
          <w:tcPr>
            <w:tcW w:w="260" w:type="dxa"/>
            <w:vAlign w:val="bottom"/>
            <w:gridSpan w:val="2"/>
            <w:shd w:val="clear" w:color="auto" w:fill="CCEE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178"/>
        </w:trPr>
        <w:tc>
          <w:tcPr>
            <w:tcW w:w="2260" w:type="dxa"/>
            <w:vAlign w:val="bottom"/>
            <w:tcBorders>
              <w:top w:val="single" w:sz="8" w:color="CCEECC"/>
            </w:tcBorders>
            <w:shd w:val="clear" w:color="auto" w:fill="CCEECC"/>
          </w:tcPr>
          <w:p>
            <w:pPr>
              <w:ind w:left="260"/>
              <w:spacing w:after="0" w:line="178" w:lineRule="exact"/>
              <w:rPr>
                <w:sz w:val="20"/>
                <w:szCs w:val="20"/>
                <w:color w:val="auto"/>
              </w:rPr>
            </w:pPr>
            <w:r>
              <w:rPr>
                <w:rFonts w:ascii="Times New Roman" w:cs="Times New Roman" w:eastAsia="Times New Roman" w:hAnsi="Times New Roman"/>
                <w:sz w:val="18"/>
                <w:szCs w:val="18"/>
                <w:color w:val="auto"/>
              </w:rPr>
              <w:t>Net provision for federal</w:t>
            </w:r>
          </w:p>
        </w:tc>
        <w:tc>
          <w:tcPr>
            <w:tcW w:w="1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income tax</w:t>
            </w:r>
          </w:p>
        </w:tc>
        <w:tc>
          <w:tcPr>
            <w:tcW w:w="360" w:type="dxa"/>
            <w:vAlign w:val="bottom"/>
            <w:gridSpan w:val="2"/>
            <w:shd w:val="clear" w:color="auto" w:fill="CCEEC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2"/>
                <w:szCs w:val="22"/>
                <w:color w:val="auto"/>
              </w:rPr>
            </w:pPr>
          </w:p>
        </w:tc>
        <w:tc>
          <w:tcPr>
            <w:tcW w:w="260" w:type="dxa"/>
            <w:vAlign w:val="bottom"/>
            <w:gridSpan w:val="2"/>
            <w:shd w:val="clear" w:color="auto" w:fill="CCEE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tax effect at the expected rate of 34% of significant items comprising our net deferred tax amount is as follows as of December 31, 2013 and 2012:</w:t>
      </w:r>
    </w:p>
    <w:p>
      <w:pPr>
        <w:spacing w:after="0" w:line="175"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 attributable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26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4,665,000</w:t>
            </w:r>
          </w:p>
        </w:tc>
        <w:tc>
          <w:tcPr>
            <w:tcW w:w="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4,738,000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(4,665,000)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(4,738,000)</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change in ownership provisions of the Tax Reform Act of 1986, net operating loss carry forwards of approximately $13,718,000 for Federal income tax reporting purposes are subject to annual limitations. Should a change in ownership occur, net operating loss carry forwards may be limited as to use in future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CONTINGENT LIABILITY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20, 2013, the Company entered into a separation agreement with the CEO. As part of the terms of the separation agreement, the accrued compensation up to the date of separation was paid and the options were terminated.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consisted of the following for the years ended December 31, 2013 and 2012, respectively:</w:t>
      </w:r>
    </w:p>
    <w:p>
      <w:pPr>
        <w:spacing w:after="0" w:line="22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Years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Years ended</w:t>
            </w:r>
          </w:p>
        </w:tc>
      </w:tr>
      <w:tr>
        <w:trPr>
          <w:trHeight w:val="230"/>
        </w:trPr>
        <w:tc>
          <w:tcPr>
            <w:tcW w:w="27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7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40" w:type="dxa"/>
            <w:vAlign w:val="bottom"/>
            <w:tcBorders>
              <w:bottom w:val="single" w:sz="8" w:color="auto"/>
            </w:tcBorders>
          </w:tcPr>
          <w:p>
            <w:pPr>
              <w:spacing w:after="0"/>
              <w:rPr>
                <w:sz w:val="20"/>
                <w:szCs w:val="20"/>
                <w:color w:val="auto"/>
              </w:rPr>
            </w:pPr>
          </w:p>
        </w:tc>
      </w:tr>
      <w:tr>
        <w:trPr>
          <w:trHeight w:val="210"/>
        </w:trPr>
        <w:tc>
          <w:tcPr>
            <w:tcW w:w="27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47,105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263,396</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100,077</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1,184,367</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60,592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62,362</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187,104</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411,412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285,605</w:t>
            </w:r>
          </w:p>
        </w:tc>
        <w:tc>
          <w:tcPr>
            <w:tcW w:w="40" w:type="dxa"/>
            <w:vAlign w:val="bottom"/>
            <w:shd w:val="clear" w:color="auto" w:fill="CCEECC"/>
          </w:tcPr>
          <w:p>
            <w:pPr>
              <w:spacing w:after="0"/>
              <w:rPr>
                <w:sz w:val="18"/>
                <w:szCs w:val="18"/>
                <w:color w:val="auto"/>
              </w:rPr>
            </w:pPr>
          </w:p>
        </w:tc>
      </w:tr>
      <w:tr>
        <w:trPr>
          <w:trHeight w:val="230"/>
        </w:trPr>
        <w:tc>
          <w:tcPr>
            <w:tcW w:w="2720" w:type="dxa"/>
            <w:vAlign w:val="bottom"/>
            <w:tcBorders>
              <w:bottom w:val="single" w:sz="8" w:color="CCEECC"/>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288,297</w:t>
            </w:r>
          </w:p>
        </w:tc>
        <w:tc>
          <w:tcPr>
            <w:tcW w:w="6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269,448</w:t>
            </w:r>
          </w:p>
        </w:tc>
        <w:tc>
          <w:tcPr>
            <w:tcW w:w="40" w:type="dxa"/>
            <w:vAlign w:val="bottom"/>
            <w:tcBorders>
              <w:bottom w:val="single" w:sz="8" w:color="CCEECC"/>
            </w:tcBorders>
          </w:tcPr>
          <w:p>
            <w:pPr>
              <w:spacing w:after="0"/>
              <w:rPr>
                <w:sz w:val="19"/>
                <w:szCs w:val="19"/>
                <w:color w:val="auto"/>
              </w:rPr>
            </w:pPr>
          </w:p>
        </w:tc>
      </w:tr>
      <w:tr>
        <w:trPr>
          <w:trHeight w:val="223"/>
        </w:trPr>
        <w:tc>
          <w:tcPr>
            <w:tcW w:w="2720" w:type="dxa"/>
            <w:vAlign w:val="bottom"/>
            <w:tcBorders>
              <w:bottom w:val="single" w:sz="8" w:color="CCEECC"/>
            </w:tcBorders>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2,973,990</w:t>
            </w:r>
          </w:p>
        </w:tc>
        <w:tc>
          <w:tcPr>
            <w:tcW w:w="6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2,328,648</w:t>
            </w:r>
          </w:p>
        </w:tc>
        <w:tc>
          <w:tcPr>
            <w:tcW w:w="40" w:type="dxa"/>
            <w:vAlign w:val="bottom"/>
            <w:tcBorders>
              <w:bottom w:val="single" w:sz="8" w:color="CCEECC"/>
            </w:tcBorders>
            <w:shd w:val="clear" w:color="auto" w:fill="CCEECC"/>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18 – RESTATEMENT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was not properly accrued at the end of 2012 or at the end of each 2013 quarter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restated Consolidated Balance Sheet, Consolidated Statement of Operations and Consolidated Statement of Cash Flows for the year ended December 31, 2012 is as follows:</w:t>
      </w:r>
    </w:p>
    <w:p>
      <w:pPr>
        <w:spacing w:after="0" w:line="175"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3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Previously</w:t>
            </w:r>
          </w:p>
        </w:tc>
        <w:tc>
          <w:tcPr>
            <w:tcW w:w="0" w:type="dxa"/>
            <w:vAlign w:val="bottom"/>
          </w:tcPr>
          <w:p>
            <w:pPr>
              <w:spacing w:after="0"/>
              <w:rPr>
                <w:sz w:val="1"/>
                <w:szCs w:val="1"/>
                <w:color w:val="auto"/>
              </w:rPr>
            </w:pPr>
          </w:p>
        </w:tc>
      </w:tr>
      <w:tr>
        <w:trPr>
          <w:trHeight w:val="178"/>
        </w:trPr>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Statement</w:t>
            </w:r>
          </w:p>
        </w:tc>
        <w:tc>
          <w:tcPr>
            <w:tcW w:w="1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Line Item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Corrected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Stated</w:t>
            </w:r>
          </w:p>
        </w:tc>
        <w:tc>
          <w:tcPr>
            <w:tcW w:w="0" w:type="dxa"/>
            <w:vAlign w:val="bottom"/>
          </w:tcPr>
          <w:p>
            <w:pPr>
              <w:spacing w:after="0"/>
              <w:rPr>
                <w:sz w:val="1"/>
                <w:szCs w:val="1"/>
                <w:color w:val="auto"/>
              </w:rPr>
            </w:pPr>
          </w:p>
        </w:tc>
      </w:tr>
      <w:tr>
        <w:trPr>
          <w:trHeight w:val="191"/>
        </w:trPr>
        <w:tc>
          <w:tcPr>
            <w:tcW w:w="16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640" w:type="dxa"/>
            <w:vAlign w:val="bottom"/>
            <w:tcBorders>
              <w:top w:val="single" w:sz="8" w:color="auto"/>
            </w:tcBorders>
            <w:shd w:val="clear" w:color="auto" w:fill="CCEECC"/>
          </w:tcPr>
          <w:p>
            <w:pPr>
              <w:ind w:left="100"/>
              <w:spacing w:after="0" w:line="191" w:lineRule="exact"/>
              <w:rPr>
                <w:sz w:val="20"/>
                <w:szCs w:val="20"/>
                <w:color w:val="auto"/>
              </w:rPr>
            </w:pPr>
            <w:r>
              <w:rPr>
                <w:rFonts w:ascii="Times New Roman" w:cs="Times New Roman" w:eastAsia="Times New Roman" w:hAnsi="Times New Roman"/>
                <w:sz w:val="18"/>
                <w:szCs w:val="18"/>
                <w:color w:val="auto"/>
              </w:rPr>
              <w:t>Revenue share</w:t>
            </w: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Balance sheet</w:t>
            </w:r>
          </w:p>
        </w:tc>
        <w:tc>
          <w:tcPr>
            <w:tcW w:w="164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payable</w:t>
            </w:r>
          </w:p>
        </w:tc>
        <w:tc>
          <w:tcPr>
            <w:tcW w:w="20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Revenue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840" w:type="dxa"/>
            <w:vAlign w:val="bottom"/>
            <w:gridSpan w:val="3"/>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Loss from operations $</w:t>
            </w:r>
          </w:p>
        </w:tc>
        <w:tc>
          <w:tcPr>
            <w:tcW w:w="100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(454,922)</w:t>
            </w:r>
          </w:p>
        </w:tc>
        <w:tc>
          <w:tcPr>
            <w:tcW w:w="16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(364,345)</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before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(454,553)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(363,976)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Income statement</w:t>
            </w:r>
          </w:p>
        </w:tc>
        <w:tc>
          <w:tcPr>
            <w:tcW w:w="164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(454,553)</w:t>
            </w:r>
          </w:p>
        </w:tc>
        <w:tc>
          <w:tcPr>
            <w:tcW w:w="16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CC"/>
          </w:tcPr>
          <w:p>
            <w:pPr>
              <w:jc w:val="right"/>
              <w:ind w:right="20"/>
              <w:spacing w:after="0"/>
              <w:rPr>
                <w:sz w:val="20"/>
                <w:szCs w:val="20"/>
                <w:color w:val="auto"/>
              </w:rPr>
            </w:pPr>
            <w:r>
              <w:rPr>
                <w:rFonts w:ascii="Times New Roman" w:cs="Times New Roman" w:eastAsia="Times New Roman" w:hAnsi="Times New Roman"/>
                <w:sz w:val="18"/>
                <w:szCs w:val="18"/>
                <w:color w:val="auto"/>
              </w:rPr>
              <w:t>(363,976)</w:t>
            </w:r>
          </w:p>
        </w:tc>
        <w:tc>
          <w:tcPr>
            <w:tcW w:w="0" w:type="dxa"/>
            <w:vAlign w:val="bottom"/>
          </w:tcPr>
          <w:p>
            <w:pPr>
              <w:spacing w:after="0"/>
              <w:rPr>
                <w:sz w:val="1"/>
                <w:szCs w:val="1"/>
                <w:color w:val="auto"/>
              </w:rPr>
            </w:pPr>
          </w:p>
        </w:tc>
      </w:tr>
      <w:tr>
        <w:trPr>
          <w:trHeight w:val="198"/>
        </w:trPr>
        <w:tc>
          <w:tcPr>
            <w:tcW w:w="17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Statement of cash</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flows</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(454,553)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(363,976)</w:t>
            </w:r>
          </w:p>
        </w:tc>
        <w:tc>
          <w:tcPr>
            <w:tcW w:w="0" w:type="dxa"/>
            <w:vAlign w:val="bottom"/>
          </w:tcPr>
          <w:p>
            <w:pPr>
              <w:spacing w:after="0"/>
              <w:rPr>
                <w:sz w:val="1"/>
                <w:szCs w:val="1"/>
                <w:color w:val="auto"/>
              </w:rPr>
            </w:pPr>
          </w:p>
        </w:tc>
      </w:tr>
      <w:tr>
        <w:trPr>
          <w:trHeight w:val="198"/>
        </w:trPr>
        <w:tc>
          <w:tcPr>
            <w:tcW w:w="1700" w:type="dxa"/>
            <w:vAlign w:val="bottom"/>
            <w:gridSpan w:val="2"/>
            <w:shd w:val="clear" w:color="auto" w:fill="CCEECC"/>
          </w:tcPr>
          <w:p>
            <w:pPr>
              <w:ind w:left="80"/>
              <w:spacing w:after="0" w:line="198" w:lineRule="exact"/>
              <w:rPr>
                <w:sz w:val="20"/>
                <w:szCs w:val="20"/>
                <w:color w:val="auto"/>
              </w:rPr>
            </w:pPr>
            <w:r>
              <w:rPr>
                <w:rFonts w:ascii="Times New Roman" w:cs="Times New Roman" w:eastAsia="Times New Roman" w:hAnsi="Times New Roman"/>
                <w:sz w:val="18"/>
                <w:szCs w:val="18"/>
                <w:color w:val="auto"/>
              </w:rPr>
              <w:t>Statement of cash</w:t>
            </w:r>
          </w:p>
        </w:tc>
        <w:tc>
          <w:tcPr>
            <w:tcW w:w="1640" w:type="dxa"/>
            <w:vAlign w:val="bottom"/>
            <w:shd w:val="clear" w:color="auto" w:fill="CCEECC"/>
          </w:tcPr>
          <w:p>
            <w:pPr>
              <w:ind w:left="100"/>
              <w:spacing w:after="0" w:line="198" w:lineRule="exact"/>
              <w:rPr>
                <w:sz w:val="20"/>
                <w:szCs w:val="20"/>
                <w:color w:val="auto"/>
              </w:rPr>
            </w:pPr>
            <w:r>
              <w:rPr>
                <w:rFonts w:ascii="Times New Roman" w:cs="Times New Roman" w:eastAsia="Times New Roman" w:hAnsi="Times New Roman"/>
                <w:sz w:val="18"/>
                <w:szCs w:val="18"/>
                <w:color w:val="auto"/>
              </w:rPr>
              <w:t>Increase in revenue</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gridSpan w:val="2"/>
            <w:shd w:val="clear" w:color="auto" w:fill="CCEECC"/>
          </w:tcPr>
          <w:p>
            <w:pPr>
              <w:ind w:left="80"/>
              <w:spacing w:after="0"/>
              <w:rPr>
                <w:sz w:val="20"/>
                <w:szCs w:val="20"/>
                <w:color w:val="auto"/>
              </w:rPr>
            </w:pPr>
            <w:r>
              <w:rPr>
                <w:rFonts w:ascii="Times New Roman" w:cs="Times New Roman" w:eastAsia="Times New Roman" w:hAnsi="Times New Roman"/>
                <w:sz w:val="18"/>
                <w:szCs w:val="18"/>
                <w:color w:val="auto"/>
              </w:rPr>
              <w:t>flows</w:t>
            </w:r>
          </w:p>
        </w:tc>
        <w:tc>
          <w:tcPr>
            <w:tcW w:w="1640" w:type="dxa"/>
            <w:vAlign w:val="bottom"/>
            <w:shd w:val="clear" w:color="auto" w:fill="CCEECC"/>
          </w:tcPr>
          <w:p>
            <w:pPr>
              <w:ind w:left="100"/>
              <w:spacing w:after="0"/>
              <w:rPr>
                <w:sz w:val="20"/>
                <w:szCs w:val="20"/>
                <w:color w:val="auto"/>
              </w:rPr>
            </w:pPr>
            <w:r>
              <w:rPr>
                <w:rFonts w:ascii="Times New Roman" w:cs="Times New Roman" w:eastAsia="Times New Roman" w:hAnsi="Times New Roman"/>
                <w:sz w:val="18"/>
                <w:szCs w:val="18"/>
                <w:color w:val="auto"/>
              </w:rPr>
              <w:t>share payable</w:t>
            </w:r>
          </w:p>
        </w:tc>
        <w:tc>
          <w:tcPr>
            <w:tcW w:w="20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19 – 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19 – SUBSEQUENT EVENTS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a portion of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ASC 855-10, the Company has analyzed its operations subsequent to December 31, 2013 through the date these financial statements were issued and has determined that it does not have any material subsequent events to disclose in these financial statements other than the events described above.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events occurred requiring disclosure under Item 304 of Regulation S-K during the fiscal year ending December 31, 2013.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_______________, all dealers that effect transactions in these securities whether or not participating in this offering may be required to deliver a</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prospectus. This is in addition to the dealers’ obligation to deliver a prospectus when acting as underwriters and with respect to their unsold allotments or subscriptions.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CC"/>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480" w:type="dxa"/>
            <w:vAlign w:val="bottom"/>
            <w:shd w:val="clear" w:color="auto" w:fill="CCEEC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2,260</w:t>
            </w:r>
          </w:p>
        </w:tc>
      </w:tr>
      <w:tr>
        <w:trPr>
          <w:trHeight w:val="257"/>
        </w:trPr>
        <w:tc>
          <w:tcPr>
            <w:tcW w:w="31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Accounting Fees and Expenses</w:t>
            </w:r>
            <w:r>
              <w:rPr>
                <w:rFonts w:ascii="Times New Roman" w:cs="Times New Roman" w:eastAsia="Times New Roman" w:hAnsi="Times New Roman"/>
                <w:sz w:val="29"/>
                <w:szCs w:val="29"/>
                <w:color w:val="auto"/>
                <w:vertAlign w:val="superscript"/>
              </w:rPr>
              <w:t>*</w:t>
            </w:r>
          </w:p>
        </w:tc>
        <w:tc>
          <w:tcPr>
            <w:tcW w:w="4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57"/>
        </w:trPr>
        <w:tc>
          <w:tcPr>
            <w:tcW w:w="3160" w:type="dxa"/>
            <w:vAlign w:val="bottom"/>
            <w:shd w:val="clear" w:color="auto" w:fill="CCEECC"/>
          </w:tcPr>
          <w:p>
            <w:pPr>
              <w:spacing w:after="0" w:line="256" w:lineRule="exact"/>
              <w:rPr>
                <w:sz w:val="20"/>
                <w:szCs w:val="20"/>
                <w:color w:val="auto"/>
              </w:rPr>
            </w:pPr>
            <w:r>
              <w:rPr>
                <w:rFonts w:ascii="Times New Roman" w:cs="Times New Roman" w:eastAsia="Times New Roman" w:hAnsi="Times New Roman"/>
                <w:sz w:val="18"/>
                <w:szCs w:val="18"/>
                <w:color w:val="auto"/>
              </w:rPr>
              <w:t>Legal Fees and Expenses</w:t>
            </w:r>
            <w:r>
              <w:rPr>
                <w:rFonts w:ascii="Times New Roman" w:cs="Times New Roman" w:eastAsia="Times New Roman" w:hAnsi="Times New Roman"/>
                <w:sz w:val="29"/>
                <w:szCs w:val="29"/>
                <w:color w:val="auto"/>
                <w:vertAlign w:val="superscript"/>
              </w:rPr>
              <w:t>*</w:t>
            </w:r>
          </w:p>
        </w:tc>
        <w:tc>
          <w:tcPr>
            <w:tcW w:w="480" w:type="dxa"/>
            <w:vAlign w:val="bottom"/>
            <w:shd w:val="clear" w:color="auto" w:fill="CCEECC"/>
          </w:tcPr>
          <w:p>
            <w:pPr>
              <w:spacing w:after="0"/>
              <w:rPr>
                <w:sz w:val="22"/>
                <w:szCs w:val="22"/>
                <w:color w:val="auto"/>
              </w:rPr>
            </w:pPr>
          </w:p>
        </w:tc>
        <w:tc>
          <w:tcPr>
            <w:tcW w:w="940" w:type="dxa"/>
            <w:vAlign w:val="bottom"/>
            <w:gridSpan w:val="2"/>
            <w:shd w:val="clear" w:color="auto" w:fill="CCEECC"/>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70"/>
        </w:trPr>
        <w:tc>
          <w:tcPr>
            <w:tcW w:w="316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Miscellaneous</w:t>
            </w:r>
            <w:r>
              <w:rPr>
                <w:rFonts w:ascii="Times New Roman" w:cs="Times New Roman" w:eastAsia="Times New Roman" w:hAnsi="Times New Roman"/>
                <w:sz w:val="30"/>
                <w:szCs w:val="30"/>
                <w:color w:val="auto"/>
                <w:vertAlign w:val="superscript"/>
              </w:rPr>
              <w:t>*</w:t>
            </w:r>
          </w:p>
        </w:tc>
        <w:tc>
          <w:tcPr>
            <w:tcW w:w="4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0"/>
        </w:trPr>
        <w:tc>
          <w:tcPr>
            <w:tcW w:w="3160" w:type="dxa"/>
            <w:vAlign w:val="bottom"/>
            <w:tcBorders>
              <w:top w:val="single" w:sz="8" w:color="CCEECC"/>
            </w:tcBorders>
            <w:shd w:val="clear" w:color="auto" w:fill="CCEECC"/>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tcBorders>
            <w:shd w:val="clear" w:color="auto" w:fill="CCEEC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Times New Roman" w:cs="Times New Roman" w:eastAsia="Times New Roman" w:hAnsi="Times New Roman"/>
                <w:sz w:val="18"/>
                <w:szCs w:val="18"/>
                <w:color w:val="auto"/>
              </w:rPr>
              <w:t>52,260</w:t>
            </w:r>
          </w:p>
        </w:tc>
        <w:tc>
          <w:tcPr>
            <w:tcW w:w="60" w:type="dxa"/>
            <w:vAlign w:val="bottom"/>
            <w:tcBorders>
              <w:top w:val="single" w:sz="8" w:color="CCEECC"/>
            </w:tcBorders>
            <w:shd w:val="clear" w:color="auto" w:fill="CCEECC"/>
          </w:tcPr>
          <w:p>
            <w:pPr>
              <w:spacing w:after="0"/>
              <w:rPr>
                <w:sz w:val="18"/>
                <w:szCs w:val="18"/>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 Estimates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officers and directors are indemnified as provided by the Nevada Revised Statutes and our bylaws.</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36" w:lineRule="exact"/>
        <w:rPr>
          <w:sz w:val="20"/>
          <w:szCs w:val="20"/>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failure to deal fairly with the company or its shareholders in connection with a matter in which the director has a material conflict of interest;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director had reasonable cause to believe that his or her conduct was lawful or no reasonable cause to believe that his or her conduct was unlawful);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derived an improper personal profit;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7"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46"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 was authorized by our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provided by us, in our sole discretion, pursuant to the powers vested us under Nevada law;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required to be made pursuant to the bylaws.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2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1" w:name="page72"/>
    <w:bookmarkEnd w:id="71"/>
    <w:p>
      <w:pPr>
        <w:spacing w:after="0" w:line="16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00" w:lineRule="exact"/>
        <w:rPr>
          <w:sz w:val="20"/>
          <w:szCs w:val="20"/>
          <w:color w:val="auto"/>
        </w:rPr>
      </w:pP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2014, we awarded 200,000 shares of stock to David Harrell, David Lester and Terry Hamilton from our 2013 Incentive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29, 2014, David Lester exercised 500,000 stock warrants using the cashless exercise feature. In exchange for the 500,000 warrants, 410,348 shares of common stock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2014, we issued 10,000 shares to North Coast Advisors, our consultant, for services rendered.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March 31, 2014, we issued 267,500 stock options to five employees at exercise prices of $1.54 and $1.82.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March 31, 2014, we issued 10,000 stock options to a non-employee at exercise price of $1.85.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7006" w:orient="portrait"/>
          <w:cols w:equalWidth="0" w:num="1">
            <w:col w:w="11420"/>
          </w:cols>
          <w:pgMar w:left="240" w:top="229" w:right="2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Exhibit Number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229" w:lineRule="auto"/>
        <w:rPr>
          <w:sz w:val="20"/>
          <w:szCs w:val="20"/>
          <w:color w:val="auto"/>
        </w:rPr>
      </w:pPr>
      <w:r>
        <w:rPr>
          <w:rFonts w:ascii="Times New Roman" w:cs="Times New Roman" w:eastAsia="Times New Roman" w:hAnsi="Times New Roman"/>
          <w:sz w:val="18"/>
          <w:szCs w:val="18"/>
          <w:color w:val="auto"/>
        </w:rPr>
        <w:t>Articles of Incorporation of OptimizeRx Corporation (the “Company”)</w:t>
      </w:r>
      <w:r>
        <w:rPr>
          <w:rFonts w:ascii="Times New Roman" w:cs="Times New Roman" w:eastAsia="Times New Roman" w:hAnsi="Times New Roman"/>
          <w:sz w:val="30"/>
          <w:szCs w:val="30"/>
          <w:color w:val="auto"/>
          <w:vertAlign w:val="superscript"/>
        </w:rPr>
        <w:t>1</w:t>
      </w:r>
    </w:p>
    <w:p>
      <w:pPr>
        <w:spacing w:after="0" w:line="181" w:lineRule="auto"/>
        <w:rPr>
          <w:sz w:val="20"/>
          <w:szCs w:val="20"/>
          <w:color w:val="auto"/>
        </w:rPr>
      </w:pPr>
      <w:r>
        <w:rPr>
          <w:rFonts w:ascii="Times New Roman" w:cs="Times New Roman" w:eastAsia="Times New Roman" w:hAnsi="Times New Roman"/>
          <w:sz w:val="16"/>
          <w:szCs w:val="16"/>
          <w:color w:val="auto"/>
        </w:rPr>
        <w:t>Amended and Restated Bylaws of the Company</w:t>
      </w:r>
      <w:r>
        <w:rPr>
          <w:rFonts w:ascii="Times New Roman" w:cs="Times New Roman" w:eastAsia="Times New Roman" w:hAnsi="Times New Roman"/>
          <w:sz w:val="25"/>
          <w:szCs w:val="25"/>
          <w:color w:val="auto"/>
          <w:vertAlign w:val="superscript"/>
        </w:rPr>
        <w:t>1</w:t>
      </w:r>
    </w:p>
    <w:p>
      <w:pPr>
        <w:ind w:right="1500"/>
        <w:spacing w:after="0" w:line="204" w:lineRule="auto"/>
        <w:rPr>
          <w:sz w:val="20"/>
          <w:szCs w:val="20"/>
          <w:color w:val="auto"/>
        </w:rPr>
      </w:pPr>
      <w:r>
        <w:rPr>
          <w:rFonts w:ascii="Times New Roman" w:cs="Times New Roman" w:eastAsia="Times New Roman" w:hAnsi="Times New Roman"/>
          <w:sz w:val="18"/>
          <w:szCs w:val="18"/>
          <w:color w:val="auto"/>
        </w:rPr>
        <w:t>Certificate of Designation, filed on September 5, 2008, with the Secretary of State of the State of Nevada by the Company</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Opinion of Cane Clark, LLP, with consent to use*</w:t>
      </w:r>
    </w:p>
    <w:p>
      <w:pPr>
        <w:spacing w:after="0" w:line="1" w:lineRule="exact"/>
        <w:rPr>
          <w:sz w:val="20"/>
          <w:szCs w:val="20"/>
          <w:color w:val="auto"/>
        </w:rPr>
      </w:pPr>
    </w:p>
    <w:p>
      <w:pPr>
        <w:sectPr>
          <w:pgSz w:w="11900" w:h="17006" w:orient="portrait"/>
          <w:cols w:equalWidth="0" w:num="2">
            <w:col w:w="640" w:space="400"/>
            <w:col w:w="10380"/>
          </w:cols>
          <w:pgMar w:left="240" w:top="229" w:right="239" w:bottom="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60" w:type="dxa"/>
            <w:vAlign w:val="bottom"/>
            <w:gridSpan w:val="2"/>
          </w:tcPr>
          <w:p>
            <w:pPr>
              <w:spacing w:after="0" w:line="240" w:lineRule="exact"/>
              <w:rPr>
                <w:sz w:val="20"/>
                <w:szCs w:val="20"/>
                <w:color w:val="auto"/>
              </w:rPr>
            </w:pPr>
            <w:r>
              <w:rPr>
                <w:rFonts w:ascii="Times New Roman" w:cs="Times New Roman" w:eastAsia="Times New Roman" w:hAnsi="Times New Roman"/>
                <w:sz w:val="17"/>
                <w:szCs w:val="17"/>
                <w:color w:val="auto"/>
              </w:rPr>
              <w:t>Employment Agreement, dated March 20, 2009</w:t>
            </w:r>
            <w:r>
              <w:rPr>
                <w:rFonts w:ascii="Times New Roman" w:cs="Times New Roman" w:eastAsia="Times New Roman" w:hAnsi="Times New Roman"/>
                <w:sz w:val="27"/>
                <w:szCs w:val="27"/>
                <w:color w:val="auto"/>
                <w:vertAlign w:val="superscript"/>
              </w:rPr>
              <w:t>2</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Employment Agreement, dated August 1, 2008</w:t>
            </w:r>
            <w:r>
              <w:rPr>
                <w:rFonts w:ascii="Times New Roman" w:cs="Times New Roman" w:eastAsia="Times New Roman" w:hAnsi="Times New Roman"/>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Employment Agreement, dated June 1, 2008</w:t>
            </w:r>
            <w:r>
              <w:rPr>
                <w:rFonts w:ascii="Times New Roman" w:cs="Times New Roman" w:eastAsia="Times New Roman" w:hAnsi="Times New Roman"/>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Employment Agreement Addendum, dated March 18, 2010</w:t>
            </w:r>
            <w:r>
              <w:rPr>
                <w:rFonts w:ascii="Times New Roman" w:cs="Times New Roman" w:eastAsia="Times New Roman" w:hAnsi="Times New Roman"/>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Employment Agreement Addendum, dated March 18, 2010</w:t>
            </w:r>
            <w:r>
              <w:rPr>
                <w:rFonts w:ascii="Times New Roman" w:cs="Times New Roman" w:eastAsia="Times New Roman" w:hAnsi="Times New Roman"/>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Addendum to Employment Agreement, dated July 28, 20103</w:t>
            </w:r>
            <w:r>
              <w:rPr>
                <w:rFonts w:ascii="Times New Roman" w:cs="Times New Roman" w:eastAsia="Times New Roman" w:hAnsi="Times New Roman"/>
                <w:sz w:val="29"/>
                <w:szCs w:val="29"/>
                <w:color w:val="auto"/>
                <w:vertAlign w:val="superscript"/>
              </w:rPr>
              <w:t>3</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to Employment Agreement, dated July 28, 2010</w:t>
            </w:r>
            <w:r>
              <w:rPr>
                <w:rFonts w:ascii="Times New Roman" w:cs="Times New Roman" w:eastAsia="Times New Roman" w:hAnsi="Times New Roman"/>
                <w:sz w:val="29"/>
                <w:szCs w:val="29"/>
                <w:color w:val="auto"/>
                <w:vertAlign w:val="superscript"/>
              </w:rPr>
              <w:t>3</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to Employment Agreement, dated July 28, 2010</w:t>
            </w:r>
            <w:r>
              <w:rPr>
                <w:rFonts w:ascii="Times New Roman" w:cs="Times New Roman" w:eastAsia="Times New Roman" w:hAnsi="Times New Roman"/>
                <w:sz w:val="29"/>
                <w:szCs w:val="29"/>
                <w:color w:val="auto"/>
                <w:vertAlign w:val="superscript"/>
              </w:rPr>
              <w:t>3</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Employment Agreement, dated January 14, 2013</w:t>
            </w:r>
            <w:r>
              <w:rPr>
                <w:rFonts w:ascii="Times New Roman" w:cs="Times New Roman" w:eastAsia="Times New Roman" w:hAnsi="Times New Roman"/>
                <w:sz w:val="29"/>
                <w:szCs w:val="29"/>
                <w:color w:val="auto"/>
                <w:vertAlign w:val="superscript"/>
              </w:rPr>
              <w:t>4</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Securities Redemption Option Agreement, dated January 10, 2013</w:t>
            </w:r>
            <w:r>
              <w:rPr>
                <w:rFonts w:ascii="Times New Roman" w:cs="Times New Roman" w:eastAsia="Times New Roman" w:hAnsi="Times New Roman"/>
                <w:sz w:val="29"/>
                <w:szCs w:val="29"/>
                <w:color w:val="auto"/>
                <w:vertAlign w:val="superscript"/>
              </w:rPr>
              <w:t>5</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to Employment Agreement, dated August 14, 2013</w:t>
            </w:r>
            <w:r>
              <w:rPr>
                <w:rFonts w:ascii="Times New Roman" w:cs="Times New Roman" w:eastAsia="Times New Roman" w:hAnsi="Times New Roman"/>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to Employment Agreement, dated August 14, 2013</w:t>
            </w:r>
            <w:r>
              <w:rPr>
                <w:rFonts w:ascii="Times New Roman" w:cs="Times New Roman" w:eastAsia="Times New Roman" w:hAnsi="Times New Roman"/>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to Employment Agreement, dated August 14, 2013</w:t>
            </w:r>
            <w:r>
              <w:rPr>
                <w:rFonts w:ascii="Times New Roman" w:cs="Times New Roman" w:eastAsia="Times New Roman" w:hAnsi="Times New Roman"/>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to Employment Agreement, dated August 14, 2013</w:t>
            </w:r>
            <w:r>
              <w:rPr>
                <w:rFonts w:ascii="Times New Roman" w:cs="Times New Roman" w:eastAsia="Times New Roman" w:hAnsi="Times New Roman"/>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Separation Agreement, dated September 20, 2013</w:t>
            </w:r>
            <w:r>
              <w:rPr>
                <w:rFonts w:ascii="Times New Roman" w:cs="Times New Roman" w:eastAsia="Times New Roman" w:hAnsi="Times New Roman"/>
                <w:sz w:val="29"/>
                <w:szCs w:val="29"/>
                <w:color w:val="auto"/>
                <w:vertAlign w:val="superscript"/>
              </w:rPr>
              <w:t>7</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Amendment No. 1 to Securities Redemption Option Agreement</w:t>
            </w:r>
            <w:r>
              <w:rPr>
                <w:rFonts w:ascii="Times New Roman" w:cs="Times New Roman" w:eastAsia="Times New Roman" w:hAnsi="Times New Roman"/>
                <w:sz w:val="29"/>
                <w:szCs w:val="29"/>
                <w:color w:val="auto"/>
                <w:vertAlign w:val="superscript"/>
              </w:rPr>
              <w:t>8</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Securities Purchase Agreement</w:t>
            </w:r>
            <w:r>
              <w:rPr>
                <w:rFonts w:ascii="Times New Roman" w:cs="Times New Roman" w:eastAsia="Times New Roman" w:hAnsi="Times New Roman"/>
                <w:sz w:val="29"/>
                <w:szCs w:val="29"/>
                <w:color w:val="auto"/>
                <w:vertAlign w:val="superscript"/>
              </w:rPr>
              <w:t>9</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Registration Rights Agreement</w:t>
            </w:r>
            <w:r>
              <w:rPr>
                <w:rFonts w:ascii="Times New Roman" w:cs="Times New Roman" w:eastAsia="Times New Roman" w:hAnsi="Times New Roman"/>
                <w:sz w:val="29"/>
                <w:szCs w:val="29"/>
                <w:color w:val="auto"/>
                <w:vertAlign w:val="superscript"/>
              </w:rPr>
              <w:t>9</w:t>
            </w:r>
          </w:p>
        </w:tc>
      </w:tr>
      <w:tr>
        <w:trPr>
          <w:trHeight w:val="203"/>
        </w:trPr>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10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Warrant Agreement*</w:t>
            </w:r>
          </w:p>
        </w:tc>
      </w:tr>
      <w:tr>
        <w:trPr>
          <w:trHeight w:val="203"/>
        </w:trPr>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10.20</w:t>
            </w:r>
          </w:p>
        </w:tc>
        <w:tc>
          <w:tcPr>
            <w:tcW w:w="103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Warrant Agreement*</w:t>
            </w:r>
          </w:p>
        </w:tc>
      </w:tr>
      <w:tr>
        <w:trPr>
          <w:trHeight w:val="25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Employment Agreement, dated May 12, 2014</w:t>
            </w:r>
            <w:r>
              <w:rPr>
                <w:rFonts w:ascii="Times New Roman" w:cs="Times New Roman" w:eastAsia="Times New Roman" w:hAnsi="Times New Roman"/>
                <w:sz w:val="29"/>
                <w:szCs w:val="29"/>
                <w:color w:val="auto"/>
                <w:vertAlign w:val="superscript"/>
              </w:rPr>
              <w:t>10</w:t>
            </w: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10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104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2013 formatted in Extensible</w:t>
            </w:r>
          </w:p>
        </w:tc>
      </w:tr>
    </w:tbl>
    <w:p>
      <w:pPr>
        <w:ind w:left="1040"/>
        <w:spacing w:after="0"/>
        <w:rPr>
          <w:sz w:val="20"/>
          <w:szCs w:val="20"/>
          <w:color w:val="auto"/>
        </w:rPr>
      </w:pPr>
      <w:r>
        <w:rPr>
          <w:rFonts w:ascii="Times New Roman" w:cs="Times New Roman" w:eastAsia="Times New Roman" w:hAnsi="Times New Roman"/>
          <w:sz w:val="18"/>
          <w:szCs w:val="18"/>
          <w:color w:val="auto"/>
        </w:rPr>
        <w:t>Business Reporting Language (XBRL).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137"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Form S-1, filed by the Company with the Securities and Exchange Commission on November 12, 2008.</w:t>
      </w:r>
    </w:p>
    <w:p>
      <w:pPr>
        <w:spacing w:after="0" w:line="42" w:lineRule="exact"/>
        <w:rPr>
          <w:rFonts w:ascii="Times New Roman" w:cs="Times New Roman" w:eastAsia="Times New Roman" w:hAnsi="Times New Roman"/>
          <w:sz w:val="30"/>
          <w:szCs w:val="30"/>
          <w:color w:val="auto"/>
          <w:vertAlign w:val="superscript"/>
        </w:rPr>
      </w:pPr>
    </w:p>
    <w:p>
      <w:pPr>
        <w:ind w:right="1620"/>
        <w:spacing w:after="0" w:line="23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Incorporated by reference to the Form 10-K, filed by the Company with the Securities and Exchange Commission on March 31, 2010.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Incorporated by reference to the Form 8-K, filed by the Company with the Securities and Exchange Commission on July 30, 2010.</w:t>
      </w:r>
    </w:p>
    <w:p>
      <w:pPr>
        <w:spacing w:after="0" w:line="23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4</w:t>
      </w:r>
      <w:r>
        <w:rPr>
          <w:rFonts w:ascii="Times New Roman" w:cs="Times New Roman" w:eastAsia="Times New Roman" w:hAnsi="Times New Roman"/>
          <w:sz w:val="18"/>
          <w:szCs w:val="18"/>
          <w:color w:val="auto"/>
        </w:rPr>
        <w:t xml:space="preserve"> Incorporated by reference to the Form 8-K, filed by the Company with the Securities and Exchange Commission on January 18, 2013.</w:t>
      </w:r>
    </w:p>
    <w:p>
      <w:pPr>
        <w:sectPr>
          <w:pgSz w:w="11900" w:h="17006" w:orient="portrait"/>
          <w:cols w:equalWidth="0" w:num="1">
            <w:col w:w="11420"/>
          </w:cols>
          <w:pgMar w:left="240" w:top="229" w:right="239" w:bottom="0" w:gutter="0" w:footer="0" w:header="0"/>
          <w:type w:val="continuous"/>
        </w:sectPr>
      </w:pPr>
    </w:p>
    <w:bookmarkStart w:id="72" w:name="page73"/>
    <w:bookmarkEnd w:id="72"/>
    <w:p>
      <w:pPr>
        <w:ind w:left="120" w:hanging="112"/>
        <w:spacing w:after="0"/>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Form 8-K, filed by the Company with the Securities and Exchange Commission on January 11, 2013.</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Incorporated by reference to the Form 8-K, filed by the Company with the Securities and Exchange Commission on August 15, 2013.</w:t>
      </w:r>
    </w:p>
    <w:p>
      <w:pPr>
        <w:ind w:right="199"/>
        <w:spacing w:after="0" w:line="23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Incorporated by reference to the Form 8-K, filed by the Company with the Securities and Exchange Commission on September 20, 2013. </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Incorporated by reference to the Form 8-K, filed by the Company with the Securities and Exchange Commission on January 2, 2014.</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6"/>
          <w:szCs w:val="16"/>
          <w:color w:val="auto"/>
        </w:rPr>
        <w:t xml:space="preserve"> Incorporated by reference to the Form 8-K, filed by the Company with the Securities and Exchange Commission on March 18, 2014.</w:t>
      </w:r>
    </w:p>
    <w:p>
      <w:pPr>
        <w:spacing w:after="0" w:line="21" w:lineRule="exact"/>
        <w:rPr>
          <w:sz w:val="20"/>
          <w:szCs w:val="20"/>
          <w:color w:val="auto"/>
        </w:rPr>
      </w:pPr>
    </w:p>
    <w:p>
      <w:pPr>
        <w:ind w:right="579" w:firstLine="8"/>
        <w:spacing w:after="0" w:line="208" w:lineRule="auto"/>
        <w:tabs>
          <w:tab w:leader="none" w:pos="195"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Incorporated by reference to the Form 8-K, filed by the Company with the Securities and Exchange Commission on May 14, 2014. **Provided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219"/>
          </w:cols>
          <w:pgMar w:left="240" w:top="51" w:right="1440"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40" w:hanging="654"/>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440" w:firstLine="449"/>
        <w:spacing w:after="0" w:line="256" w:lineRule="auto"/>
        <w:tabs>
          <w:tab w:leader="none" w:pos="11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440" w:firstLine="449"/>
        <w:spacing w:after="0" w:line="282" w:lineRule="auto"/>
        <w:tabs>
          <w:tab w:leader="none" w:pos="122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firstLine="449"/>
        <w:spacing w:after="0" w:line="266" w:lineRule="auto"/>
        <w:tabs>
          <w:tab w:leader="none" w:pos="7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right="20" w:firstLine="449"/>
        <w:spacing w:after="0" w:line="282" w:lineRule="auto"/>
        <w:tabs>
          <w:tab w:leader="none" w:pos="6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449"/>
        <w:spacing w:after="0" w:line="255" w:lineRule="auto"/>
        <w:tabs>
          <w:tab w:leader="none" w:pos="6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rFonts w:ascii="Times New Roman" w:cs="Times New Roman" w:eastAsia="Times New Roman" w:hAnsi="Times New Roman"/>
          <w:sz w:val="18"/>
          <w:szCs w:val="18"/>
          <w:color w:val="auto"/>
        </w:rPr>
      </w:pPr>
    </w:p>
    <w:p>
      <w:pPr>
        <w:jc w:val="both"/>
        <w:ind w:firstLine="449"/>
        <w:spacing w:after="0" w:line="255" w:lineRule="auto"/>
        <w:tabs>
          <w:tab w:leader="none" w:pos="6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May 23, 2014.</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OptimizeRx Corporation</w:t>
            </w:r>
          </w:p>
        </w:tc>
      </w:tr>
      <w:tr>
        <w:trPr>
          <w:trHeight w:val="194"/>
        </w:trPr>
        <w:tc>
          <w:tcPr>
            <w:tcW w:w="7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62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 David Harrell</w:t>
            </w:r>
          </w:p>
        </w:tc>
      </w:tr>
      <w:tr>
        <w:trPr>
          <w:trHeight w:val="218"/>
        </w:trPr>
        <w:tc>
          <w:tcPr>
            <w:tcW w:w="700" w:type="dxa"/>
            <w:vAlign w:val="bottom"/>
          </w:tcPr>
          <w:p>
            <w:pPr>
              <w:spacing w:after="0"/>
              <w:rPr>
                <w:sz w:val="18"/>
                <w:szCs w:val="18"/>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Harrell</w:t>
            </w:r>
          </w:p>
        </w:tc>
        <w:tc>
          <w:tcPr>
            <w:tcW w:w="5000" w:type="dxa"/>
            <w:vAlign w:val="bottom"/>
            <w:gridSpan w:val="2"/>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tc>
      </w:tr>
      <w:tr>
        <w:trPr>
          <w:trHeight w:val="234"/>
        </w:trPr>
        <w:tc>
          <w:tcPr>
            <w:tcW w:w="700" w:type="dxa"/>
            <w:vAlign w:val="bottom"/>
          </w:tcPr>
          <w:p>
            <w:pPr>
              <w:spacing w:after="0"/>
              <w:rPr>
                <w:sz w:val="20"/>
                <w:szCs w:val="20"/>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23, 2014</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H. David Lester</w:t>
            </w:r>
          </w:p>
        </w:tc>
      </w:tr>
      <w:tr>
        <w:trPr>
          <w:trHeight w:val="218"/>
        </w:trPr>
        <w:tc>
          <w:tcPr>
            <w:tcW w:w="700" w:type="dxa"/>
            <w:vAlign w:val="bottom"/>
          </w:tcPr>
          <w:p>
            <w:pPr>
              <w:spacing w:after="0"/>
              <w:rPr>
                <w:sz w:val="18"/>
                <w:szCs w:val="18"/>
                <w:color w:val="auto"/>
              </w:rPr>
            </w:pPr>
          </w:p>
        </w:tc>
        <w:tc>
          <w:tcPr>
            <w:tcW w:w="1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 David Lester</w:t>
            </w:r>
          </w:p>
        </w:tc>
        <w:tc>
          <w:tcPr>
            <w:tcW w:w="48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Operating Officer and Director</w:t>
            </w:r>
          </w:p>
        </w:tc>
      </w:tr>
      <w:tr>
        <w:trPr>
          <w:trHeight w:val="234"/>
        </w:trPr>
        <w:tc>
          <w:tcPr>
            <w:tcW w:w="700" w:type="dxa"/>
            <w:vAlign w:val="bottom"/>
          </w:tcPr>
          <w:p>
            <w:pPr>
              <w:spacing w:after="0"/>
              <w:rPr>
                <w:sz w:val="20"/>
                <w:szCs w:val="20"/>
                <w:color w:val="auto"/>
              </w:rPr>
            </w:pPr>
          </w:p>
        </w:tc>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23, 2014</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Douglas Baker</w:t>
            </w:r>
          </w:p>
        </w:tc>
      </w:tr>
      <w:tr>
        <w:trPr>
          <w:trHeight w:val="205"/>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Douglas Baker</w:t>
            </w:r>
          </w:p>
        </w:tc>
        <w:tc>
          <w:tcPr>
            <w:tcW w:w="484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Chief Financial Officer, Principal Accounting Officer and Principal Financial Officer</w:t>
            </w:r>
          </w:p>
        </w:tc>
      </w:tr>
      <w:tr>
        <w:trPr>
          <w:trHeight w:val="234"/>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23, 2014</w:t>
            </w:r>
          </w:p>
        </w:tc>
      </w:tr>
      <w:tr>
        <w:trPr>
          <w:trHeight w:val="459"/>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David Harrell</w:t>
            </w:r>
          </w:p>
        </w:tc>
      </w:tr>
      <w:tr>
        <w:trPr>
          <w:trHeight w:val="218"/>
        </w:trPr>
        <w:tc>
          <w:tcPr>
            <w:tcW w:w="700" w:type="dxa"/>
            <w:vAlign w:val="bottom"/>
          </w:tcPr>
          <w:p>
            <w:pPr>
              <w:spacing w:after="0"/>
              <w:rPr>
                <w:sz w:val="18"/>
                <w:szCs w:val="18"/>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Harrell</w:t>
            </w:r>
          </w:p>
        </w:tc>
        <w:tc>
          <w:tcPr>
            <w:tcW w:w="3540" w:type="dxa"/>
            <w:vAlign w:val="bottom"/>
            <w:gridSpan w:val="2"/>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 and Director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23, 2014</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David Lester</w:t>
            </w:r>
          </w:p>
        </w:tc>
      </w:tr>
      <w:tr>
        <w:trPr>
          <w:trHeight w:val="218"/>
        </w:trPr>
        <w:tc>
          <w:tcPr>
            <w:tcW w:w="70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Lester</w:t>
            </w:r>
          </w:p>
        </w:tc>
        <w:tc>
          <w:tcPr>
            <w:tcW w:w="3600" w:type="dxa"/>
            <w:vAlign w:val="bottom"/>
            <w:gridSpan w:val="3"/>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Operating Officer and Director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23, 2014</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Terence J. Hamilton</w:t>
            </w:r>
          </w:p>
        </w:tc>
      </w:tr>
      <w:tr>
        <w:trPr>
          <w:trHeight w:val="218"/>
        </w:trPr>
        <w:tc>
          <w:tcPr>
            <w:tcW w:w="700" w:type="dxa"/>
            <w:vAlign w:val="bottom"/>
          </w:tcPr>
          <w:p>
            <w:pPr>
              <w:spacing w:after="0"/>
              <w:rPr>
                <w:sz w:val="18"/>
                <w:szCs w:val="18"/>
                <w:color w:val="auto"/>
              </w:rPr>
            </w:pPr>
          </w:p>
        </w:tc>
        <w:tc>
          <w:tcPr>
            <w:tcW w:w="1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Terence J. Hamilton</w:t>
            </w:r>
          </w:p>
        </w:tc>
        <w:tc>
          <w:tcPr>
            <w:tcW w:w="308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V.P. of Sales and Director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23, 2014</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2224B"/>
        </w:rPr>
        <w:t>Silberstein Ungar, PLLC CPAs and Business Advisors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2224B"/>
        </w:rPr>
        <w:t>Phone (248) 203-0080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2224B"/>
        </w:rPr>
        <w:t>www.sucpas.com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MI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Silberstein Ungar, PLLC hereby consents to the use in the Form S-1/A Amendment No. 3, Registration Statement under the Securities Act of 1933, filed by OptimizeRx Corporation of our report dated March 20, 2014, relating to the consolidated financial statements of OptimizeRx Corporation, a Nevada Corporation, as of and for the years ending December 31, 2013 and 2012, and the reference to us under the caption “Interests of Named Experts”.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Silberstein Ungar, PLLC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bullet"/>
      <w:start w:val="1"/>
    </w:lvl>
  </w:abstractNum>
  <w:abstractNum w:abstractNumId="25">
    <w:nsid w:val="54E49EB4"/>
    <w:multiLevelType w:val="hybridMultilevel"/>
    <w:lvl w:ilvl="0">
      <w:lvlJc w:val="left"/>
      <w:lvlText w:val="5"/>
      <w:numFmt w:val="bullet"/>
      <w:start w:val="1"/>
    </w:lvl>
  </w:abstractNum>
  <w:abstractNum w:abstractNumId="26">
    <w:nsid w:val="71F32454"/>
    <w:multiLevelType w:val="hybridMultilevel"/>
    <w:lvl w:ilvl="0">
      <w:lvlJc w:val="left"/>
      <w:lvlText w:val="%1"/>
      <w:numFmt w:val="decimal"/>
      <w:start w:val="10"/>
    </w:lvl>
  </w:abstractNum>
  <w:abstractNum w:abstractNumId="27">
    <w:nsid w:val="2CA8861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2019-12-07T19:55:58Z</dcterms:created>
  <dcterms:modified xsi:type="dcterms:W3CDTF">2019-12-07T19:55:58Z</dcterms:modified>
</cp:coreProperties>
</file>