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599"/>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5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9"/>
        <w:spacing w:after="0"/>
        <w:tabs>
          <w:tab w:leader="none" w:pos="26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4022725</wp:posOffset>
            </wp:positionH>
            <wp:positionV relativeFrom="paragraph">
              <wp:posOffset>-29210</wp:posOffset>
            </wp:positionV>
            <wp:extent cx="137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599"/>
        <w:spacing w:after="0"/>
        <w:rPr>
          <w:sz w:val="20"/>
          <w:szCs w:val="20"/>
          <w:color w:val="auto"/>
        </w:rPr>
      </w:pPr>
      <w:r>
        <w:rPr>
          <w:rFonts w:ascii="Arial" w:cs="Arial" w:eastAsia="Arial" w:hAnsi="Arial"/>
          <w:sz w:val="40"/>
          <w:szCs w:val="40"/>
          <w:b w:val="1"/>
          <w:bCs w:val="1"/>
          <w:color w:val="auto"/>
        </w:rPr>
        <w:t>OPTIMIZERX CORPORATION</w:t>
      </w:r>
    </w:p>
    <w:p>
      <w:pPr>
        <w:spacing w:after="0" w:line="35" w:lineRule="exact"/>
        <w:rPr>
          <w:sz w:val="24"/>
          <w:szCs w:val="24"/>
          <w:color w:val="auto"/>
        </w:rPr>
      </w:pPr>
    </w:p>
    <w:p>
      <w:pPr>
        <w:ind w:left="5080"/>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9"/>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1" w:lineRule="exact"/>
        <w:rPr>
          <w:sz w:val="24"/>
          <w:szCs w:val="24"/>
          <w:color w:val="auto"/>
        </w:rPr>
      </w:pPr>
    </w:p>
    <w:p>
      <w:pPr>
        <w:ind w:left="4860"/>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9"/>
        <w:spacing w:after="0"/>
        <w:rPr>
          <w:sz w:val="20"/>
          <w:szCs w:val="20"/>
          <w:color w:val="auto"/>
        </w:rPr>
      </w:pPr>
      <w:r>
        <w:rPr>
          <w:rFonts w:ascii="Arial" w:cs="Arial" w:eastAsia="Arial" w:hAnsi="Arial"/>
          <w:sz w:val="18"/>
          <w:szCs w:val="18"/>
          <w:b w:val="1"/>
          <w:bCs w:val="1"/>
          <w:color w:val="auto"/>
        </w:rPr>
        <w:t>760174 10 2</w:t>
      </w:r>
    </w:p>
    <w:p>
      <w:pPr>
        <w:spacing w:after="0" w:line="21" w:lineRule="exact"/>
        <w:rPr>
          <w:sz w:val="24"/>
          <w:szCs w:val="24"/>
          <w:color w:val="auto"/>
        </w:rPr>
      </w:pPr>
    </w:p>
    <w:p>
      <w:pPr>
        <w:ind w:left="5180"/>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9"/>
        <w:spacing w:after="0"/>
        <w:rPr>
          <w:sz w:val="20"/>
          <w:szCs w:val="20"/>
          <w:color w:val="auto"/>
        </w:rPr>
      </w:pPr>
      <w:r>
        <w:rPr>
          <w:rFonts w:ascii="Arial" w:cs="Arial" w:eastAsia="Arial" w:hAnsi="Arial"/>
          <w:sz w:val="18"/>
          <w:szCs w:val="18"/>
          <w:b w:val="1"/>
          <w:bCs w:val="1"/>
          <w:color w:val="auto"/>
        </w:rPr>
        <w:t>WPP plc</w:t>
      </w:r>
    </w:p>
    <w:p>
      <w:pPr>
        <w:spacing w:after="0" w:line="27" w:lineRule="exact"/>
        <w:rPr>
          <w:sz w:val="24"/>
          <w:szCs w:val="24"/>
          <w:color w:val="auto"/>
        </w:rPr>
      </w:pPr>
    </w:p>
    <w:p>
      <w:pPr>
        <w:jc w:val="center"/>
        <w:ind w:right="-599"/>
        <w:spacing w:after="0"/>
        <w:rPr>
          <w:sz w:val="20"/>
          <w:szCs w:val="20"/>
          <w:color w:val="auto"/>
        </w:rPr>
      </w:pPr>
      <w:r>
        <w:rPr>
          <w:rFonts w:ascii="Arial" w:cs="Arial" w:eastAsia="Arial" w:hAnsi="Arial"/>
          <w:sz w:val="18"/>
          <w:szCs w:val="18"/>
          <w:b w:val="1"/>
          <w:bCs w:val="1"/>
          <w:color w:val="auto"/>
        </w:rPr>
        <w:t>27 Farm Street</w:t>
      </w:r>
    </w:p>
    <w:p>
      <w:pPr>
        <w:spacing w:after="0" w:line="9" w:lineRule="exact"/>
        <w:rPr>
          <w:sz w:val="24"/>
          <w:szCs w:val="24"/>
          <w:color w:val="auto"/>
        </w:rPr>
      </w:pPr>
    </w:p>
    <w:p>
      <w:pPr>
        <w:jc w:val="center"/>
        <w:ind w:right="-599"/>
        <w:spacing w:after="0"/>
        <w:rPr>
          <w:sz w:val="20"/>
          <w:szCs w:val="20"/>
          <w:color w:val="auto"/>
        </w:rPr>
      </w:pPr>
      <w:r>
        <w:rPr>
          <w:rFonts w:ascii="Arial" w:cs="Arial" w:eastAsia="Arial" w:hAnsi="Arial"/>
          <w:sz w:val="18"/>
          <w:szCs w:val="18"/>
          <w:b w:val="1"/>
          <w:bCs w:val="1"/>
          <w:color w:val="auto"/>
        </w:rPr>
        <w:t>London, United Kingdom W1J 5RJ</w:t>
      </w:r>
    </w:p>
    <w:p>
      <w:pPr>
        <w:spacing w:after="0" w:line="9" w:lineRule="exact"/>
        <w:rPr>
          <w:sz w:val="24"/>
          <w:szCs w:val="24"/>
          <w:color w:val="auto"/>
        </w:rPr>
      </w:pPr>
    </w:p>
    <w:p>
      <w:pPr>
        <w:jc w:val="center"/>
        <w:ind w:right="-599"/>
        <w:spacing w:after="0"/>
        <w:rPr>
          <w:sz w:val="20"/>
          <w:szCs w:val="20"/>
          <w:color w:val="auto"/>
        </w:rPr>
      </w:pPr>
      <w:r>
        <w:rPr>
          <w:rFonts w:ascii="Arial" w:cs="Arial" w:eastAsia="Arial" w:hAnsi="Arial"/>
          <w:sz w:val="18"/>
          <w:szCs w:val="18"/>
          <w:b w:val="1"/>
          <w:bCs w:val="1"/>
          <w:color w:val="auto"/>
        </w:rPr>
        <w:t>Telephone: +44(0) 20 7408 2204</w:t>
      </w:r>
    </w:p>
    <w:p>
      <w:pPr>
        <w:spacing w:after="0" w:line="9" w:lineRule="exact"/>
        <w:rPr>
          <w:sz w:val="24"/>
          <w:szCs w:val="24"/>
          <w:color w:val="auto"/>
        </w:rPr>
      </w:pPr>
    </w:p>
    <w:p>
      <w:pPr>
        <w:jc w:val="center"/>
        <w:ind w:right="-599"/>
        <w:spacing w:after="0"/>
        <w:rPr>
          <w:sz w:val="20"/>
          <w:szCs w:val="20"/>
          <w:color w:val="auto"/>
        </w:rPr>
      </w:pPr>
      <w:r>
        <w:rPr>
          <w:rFonts w:ascii="Arial" w:cs="Arial" w:eastAsia="Arial" w:hAnsi="Arial"/>
          <w:sz w:val="18"/>
          <w:szCs w:val="18"/>
          <w:b w:val="1"/>
          <w:bCs w:val="1"/>
          <w:u w:val="single" w:color="auto"/>
          <w:color w:val="auto"/>
        </w:rPr>
        <w:t>Attention: Andrea Harris, Esq.</w:t>
      </w:r>
    </w:p>
    <w:p>
      <w:pPr>
        <w:spacing w:after="0" w:line="2" w:lineRule="exact"/>
        <w:rPr>
          <w:sz w:val="24"/>
          <w:szCs w:val="24"/>
          <w:color w:val="auto"/>
        </w:rPr>
      </w:pPr>
    </w:p>
    <w:p>
      <w:pPr>
        <w:ind w:left="2540"/>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12" w:lineRule="exact"/>
        <w:rPr>
          <w:sz w:val="24"/>
          <w:szCs w:val="24"/>
          <w:color w:val="auto"/>
        </w:rPr>
      </w:pPr>
    </w:p>
    <w:p>
      <w:pPr>
        <w:ind w:left="5340"/>
        <w:spacing w:after="0"/>
        <w:rPr>
          <w:sz w:val="20"/>
          <w:szCs w:val="20"/>
          <w:color w:val="auto"/>
        </w:rPr>
      </w:pPr>
      <w:r>
        <w:rPr>
          <w:rFonts w:ascii="Arial" w:cs="Arial" w:eastAsia="Arial" w:hAnsi="Arial"/>
          <w:sz w:val="18"/>
          <w:szCs w:val="18"/>
          <w:color w:val="auto"/>
        </w:rPr>
        <w:t>Copies to:</w:t>
      </w:r>
    </w:p>
    <w:p>
      <w:pPr>
        <w:spacing w:after="0" w:line="200" w:lineRule="exact"/>
        <w:rPr>
          <w:sz w:val="24"/>
          <w:szCs w:val="24"/>
          <w:color w:val="auto"/>
        </w:rPr>
      </w:pPr>
    </w:p>
    <w:p>
      <w:pPr>
        <w:spacing w:after="0" w:line="237" w:lineRule="exact"/>
        <w:rPr>
          <w:sz w:val="24"/>
          <w:szCs w:val="24"/>
          <w:color w:val="auto"/>
        </w:rPr>
      </w:pPr>
    </w:p>
    <w:p>
      <w:pPr>
        <w:jc w:val="center"/>
        <w:ind w:right="-599"/>
        <w:spacing w:after="0"/>
        <w:rPr>
          <w:sz w:val="20"/>
          <w:szCs w:val="20"/>
          <w:color w:val="auto"/>
        </w:rPr>
      </w:pPr>
      <w:r>
        <w:rPr>
          <w:rFonts w:ascii="Arial" w:cs="Arial" w:eastAsia="Arial" w:hAnsi="Arial"/>
          <w:sz w:val="18"/>
          <w:szCs w:val="18"/>
          <w:b w:val="1"/>
          <w:bCs w:val="1"/>
          <w:color w:val="auto"/>
        </w:rPr>
        <w:t>Curt Myers, Esq.</w:t>
      </w:r>
    </w:p>
    <w:p>
      <w:pPr>
        <w:spacing w:after="0" w:line="27" w:lineRule="exact"/>
        <w:rPr>
          <w:sz w:val="24"/>
          <w:szCs w:val="24"/>
          <w:color w:val="auto"/>
        </w:rPr>
      </w:pPr>
    </w:p>
    <w:p>
      <w:pPr>
        <w:jc w:val="center"/>
        <w:ind w:right="-599"/>
        <w:spacing w:after="0"/>
        <w:rPr>
          <w:sz w:val="20"/>
          <w:szCs w:val="20"/>
          <w:color w:val="auto"/>
        </w:rPr>
      </w:pPr>
      <w:r>
        <w:rPr>
          <w:rFonts w:ascii="Arial" w:cs="Arial" w:eastAsia="Arial" w:hAnsi="Arial"/>
          <w:sz w:val="18"/>
          <w:szCs w:val="18"/>
          <w:b w:val="1"/>
          <w:bCs w:val="1"/>
          <w:color w:val="auto"/>
        </w:rPr>
        <w:t>Davis &amp; Gilbert LLP</w:t>
      </w:r>
    </w:p>
    <w:p>
      <w:pPr>
        <w:spacing w:after="0" w:line="9" w:lineRule="exact"/>
        <w:rPr>
          <w:sz w:val="24"/>
          <w:szCs w:val="24"/>
          <w:color w:val="auto"/>
        </w:rPr>
      </w:pPr>
    </w:p>
    <w:p>
      <w:pPr>
        <w:jc w:val="center"/>
        <w:ind w:right="-599"/>
        <w:spacing w:after="0"/>
        <w:rPr>
          <w:sz w:val="20"/>
          <w:szCs w:val="20"/>
          <w:color w:val="auto"/>
        </w:rPr>
      </w:pPr>
      <w:r>
        <w:rPr>
          <w:rFonts w:ascii="Arial" w:cs="Arial" w:eastAsia="Arial" w:hAnsi="Arial"/>
          <w:sz w:val="18"/>
          <w:szCs w:val="18"/>
          <w:b w:val="1"/>
          <w:bCs w:val="1"/>
          <w:color w:val="auto"/>
        </w:rPr>
        <w:t>1740 Broadway</w:t>
      </w:r>
    </w:p>
    <w:p>
      <w:pPr>
        <w:spacing w:after="0" w:line="9" w:lineRule="exact"/>
        <w:rPr>
          <w:sz w:val="24"/>
          <w:szCs w:val="24"/>
          <w:color w:val="auto"/>
        </w:rPr>
      </w:pPr>
    </w:p>
    <w:p>
      <w:pPr>
        <w:jc w:val="center"/>
        <w:ind w:right="-599"/>
        <w:spacing w:after="0"/>
        <w:rPr>
          <w:sz w:val="20"/>
          <w:szCs w:val="20"/>
          <w:color w:val="auto"/>
        </w:rPr>
      </w:pPr>
      <w:r>
        <w:rPr>
          <w:rFonts w:ascii="Arial" w:cs="Arial" w:eastAsia="Arial" w:hAnsi="Arial"/>
          <w:sz w:val="18"/>
          <w:szCs w:val="18"/>
          <w:b w:val="1"/>
          <w:bCs w:val="1"/>
          <w:color w:val="auto"/>
        </w:rPr>
        <w:t>New York, New York 10019</w:t>
      </w:r>
    </w:p>
    <w:p>
      <w:pPr>
        <w:spacing w:after="0" w:line="9" w:lineRule="exact"/>
        <w:rPr>
          <w:sz w:val="24"/>
          <w:szCs w:val="24"/>
          <w:color w:val="auto"/>
        </w:rPr>
      </w:pPr>
    </w:p>
    <w:p>
      <w:pPr>
        <w:jc w:val="center"/>
        <w:ind w:right="-599"/>
        <w:spacing w:after="0"/>
        <w:rPr>
          <w:sz w:val="20"/>
          <w:szCs w:val="20"/>
          <w:color w:val="auto"/>
        </w:rPr>
      </w:pPr>
      <w:r>
        <w:rPr>
          <w:rFonts w:ascii="Arial" w:cs="Arial" w:eastAsia="Arial" w:hAnsi="Arial"/>
          <w:sz w:val="18"/>
          <w:szCs w:val="18"/>
          <w:b w:val="1"/>
          <w:bCs w:val="1"/>
          <w:color w:val="auto"/>
        </w:rPr>
        <w:t>(212) 468-4800</w:t>
      </w:r>
    </w:p>
    <w:p>
      <w:pPr>
        <w:spacing w:after="0" w:line="200" w:lineRule="exact"/>
        <w:rPr>
          <w:sz w:val="24"/>
          <w:szCs w:val="24"/>
          <w:color w:val="auto"/>
        </w:rPr>
      </w:pPr>
    </w:p>
    <w:p>
      <w:pPr>
        <w:spacing w:after="0" w:line="223" w:lineRule="exact"/>
        <w:rPr>
          <w:sz w:val="24"/>
          <w:szCs w:val="24"/>
          <w:color w:val="auto"/>
        </w:rPr>
      </w:pPr>
    </w:p>
    <w:p>
      <w:pPr>
        <w:jc w:val="center"/>
        <w:ind w:right="-599"/>
        <w:spacing w:after="0"/>
        <w:rPr>
          <w:sz w:val="20"/>
          <w:szCs w:val="20"/>
          <w:color w:val="auto"/>
        </w:rPr>
      </w:pPr>
      <w:r>
        <w:rPr>
          <w:rFonts w:ascii="Arial" w:cs="Arial" w:eastAsia="Arial" w:hAnsi="Arial"/>
          <w:sz w:val="18"/>
          <w:szCs w:val="18"/>
          <w:b w:val="1"/>
          <w:bCs w:val="1"/>
          <w:color w:val="auto"/>
        </w:rPr>
        <w:t>September 24, 2015</w:t>
      </w:r>
    </w:p>
    <w:p>
      <w:pPr>
        <w:spacing w:after="0" w:line="21" w:lineRule="exact"/>
        <w:rPr>
          <w:sz w:val="24"/>
          <w:szCs w:val="24"/>
          <w:color w:val="auto"/>
        </w:rPr>
      </w:pPr>
    </w:p>
    <w:p>
      <w:pPr>
        <w:ind w:left="402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ectPr>
          <w:pgSz w:w="11900" w:h="16838" w:orient="portrait"/>
          <w:cols w:equalWidth="0" w:num="1">
            <w:col w:w="10840"/>
          </w:cols>
          <w:pgMar w:left="240" w:top="517" w:right="819" w:bottom="1440" w:gutter="0" w:footer="0" w:header="0"/>
        </w:sectPr>
      </w:pPr>
    </w:p>
    <w:bookmarkStart w:id="1" w:name="page2"/>
    <w:bookmarkEnd w:id="1"/>
    <w:p>
      <w:pPr>
        <w:ind w:right="32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252095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t xml:space="preserve">NOTE: </w:t>
      </w:r>
      <w:r>
        <w:rPr>
          <w:rFonts w:ascii="Arial" w:cs="Arial" w:eastAsia="Arial" w:hAnsi="Arial"/>
          <w:sz w:val="18"/>
          <w:szCs w:val="18"/>
          <w:color w:val="auto"/>
        </w:rPr>
        <w:t>Schedules filed in paper format shall include a signed original and five copies of the schedule, including all exhibits. See §§ 240.13d-7 for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to whom copies are to be 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8" w:lineRule="exact"/>
        <w:rPr>
          <w:sz w:val="20"/>
          <w:szCs w:val="20"/>
          <w:color w:val="auto"/>
        </w:rPr>
      </w:pPr>
    </w:p>
    <w:p>
      <w:pPr>
        <w:ind w:left="460" w:right="4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432"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760174 10 2</w:t>
      </w:r>
    </w:p>
    <w:p>
      <w:pPr>
        <w:spacing w:after="0" w:line="158" w:lineRule="exact"/>
        <w:rPr>
          <w:sz w:val="20"/>
          <w:szCs w:val="20"/>
          <w:color w:val="auto"/>
        </w:rPr>
      </w:pPr>
    </w:p>
    <w:p>
      <w:pPr>
        <w:ind w:left="540" w:hanging="285"/>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5"/>
          <w:szCs w:val="15"/>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54875" cy="6011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4875" cy="6011545"/>
                    </a:xfrm>
                    <a:prstGeom prst="rect">
                      <a:avLst/>
                    </a:prstGeom>
                    <a:noFill/>
                  </pic:spPr>
                </pic:pic>
              </a:graphicData>
            </a:graphic>
          </wp:anchor>
        </w:drawing>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22"/>
          <w:szCs w:val="22"/>
          <w:color w:val="auto"/>
        </w:rPr>
        <w:t>WPP L</w:t>
      </w:r>
      <w:r>
        <w:rPr>
          <w:rFonts w:ascii="Arial" w:cs="Arial" w:eastAsia="Arial" w:hAnsi="Arial"/>
          <w:sz w:val="18"/>
          <w:szCs w:val="18"/>
          <w:color w:val="auto"/>
        </w:rPr>
        <w:t>UXEMBOURG</w:t>
      </w:r>
      <w:r>
        <w:rPr>
          <w:rFonts w:ascii="Arial" w:cs="Arial" w:eastAsia="Arial" w:hAnsi="Arial"/>
          <w:sz w:val="22"/>
          <w:szCs w:val="22"/>
          <w:color w:val="auto"/>
        </w:rPr>
        <w:t xml:space="preserve"> G</w:t>
      </w:r>
      <w:r>
        <w:rPr>
          <w:rFonts w:ascii="Arial" w:cs="Arial" w:eastAsia="Arial" w:hAnsi="Arial"/>
          <w:sz w:val="18"/>
          <w:szCs w:val="18"/>
          <w:color w:val="auto"/>
        </w:rPr>
        <w:t>AMMA</w:t>
      </w:r>
      <w:r>
        <w:rPr>
          <w:rFonts w:ascii="Arial" w:cs="Arial" w:eastAsia="Arial" w:hAnsi="Arial"/>
          <w:sz w:val="22"/>
          <w:szCs w:val="22"/>
          <w:color w:val="auto"/>
        </w:rPr>
        <w:t xml:space="preserve"> T</w:t>
      </w:r>
      <w:r>
        <w:rPr>
          <w:rFonts w:ascii="Arial" w:cs="Arial" w:eastAsia="Arial" w:hAnsi="Arial"/>
          <w:sz w:val="18"/>
          <w:szCs w:val="18"/>
          <w:color w:val="auto"/>
        </w:rPr>
        <w:t>HREE S</w:t>
      </w:r>
      <w:r>
        <w:rPr>
          <w:rFonts w:ascii="Arial" w:cs="Arial" w:eastAsia="Arial" w:hAnsi="Arial"/>
          <w:sz w:val="22"/>
          <w:szCs w:val="22"/>
          <w:color w:val="auto"/>
        </w:rPr>
        <w:t>.</w:t>
      </w:r>
      <w:r>
        <w:rPr>
          <w:rFonts w:ascii="Arial" w:cs="Arial" w:eastAsia="Arial" w:hAnsi="Arial"/>
          <w:sz w:val="18"/>
          <w:szCs w:val="18"/>
          <w:color w:val="auto"/>
        </w:rPr>
        <w:t>À R</w:t>
      </w:r>
      <w:r>
        <w:rPr>
          <w:rFonts w:ascii="Arial" w:cs="Arial" w:eastAsia="Arial" w:hAnsi="Arial"/>
          <w:sz w:val="22"/>
          <w:szCs w:val="22"/>
          <w:color w:val="auto"/>
        </w:rPr>
        <w:t>.</w:t>
      </w:r>
      <w:r>
        <w:rPr>
          <w:rFonts w:ascii="Arial" w:cs="Arial" w:eastAsia="Arial" w:hAnsi="Arial"/>
          <w:sz w:val="18"/>
          <w:szCs w:val="18"/>
          <w:color w:val="auto"/>
        </w:rPr>
        <w:t>L</w:t>
      </w:r>
      <w:r>
        <w:rPr>
          <w:rFonts w:ascii="Arial" w:cs="Arial" w:eastAsia="Arial" w:hAnsi="Arial"/>
          <w:sz w:val="22"/>
          <w:szCs w:val="22"/>
          <w:color w:val="auto"/>
        </w:rPr>
        <w:t>.</w:t>
      </w:r>
    </w:p>
    <w:p>
      <w:pPr>
        <w:spacing w:after="0" w:line="24" w:lineRule="exact"/>
        <w:rPr>
          <w:sz w:val="20"/>
          <w:szCs w:val="20"/>
          <w:color w:val="auto"/>
        </w:rPr>
      </w:pPr>
    </w:p>
    <w:p>
      <w:pPr>
        <w:ind w:left="540" w:hanging="285"/>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5"/>
          <w:szCs w:val="15"/>
          <w:color w:val="auto"/>
        </w:rPr>
        <w:t xml:space="preserve">CHECK THE APPROPRIATE BOX IF A MEMBER OF A GROUP </w:t>
      </w:r>
      <w:r>
        <w:rPr>
          <w:rFonts w:ascii="Arial" w:cs="Arial" w:eastAsia="Arial" w:hAnsi="Arial"/>
          <w:sz w:val="18"/>
          <w:szCs w:val="18"/>
          <w:color w:val="auto"/>
        </w:rPr>
        <w:t>(See Instructions)</w:t>
      </w:r>
    </w:p>
    <w:p>
      <w:pPr>
        <w:spacing w:after="0" w:line="18" w:lineRule="exact"/>
        <w:rPr>
          <w:sz w:val="20"/>
          <w:szCs w:val="20"/>
          <w:color w:val="auto"/>
        </w:rPr>
      </w:pPr>
    </w:p>
    <w:p>
      <w:pPr>
        <w:ind w:left="540"/>
        <w:spacing w:after="0" w:line="207" w:lineRule="exact"/>
        <w:tabs>
          <w:tab w:leader="none" w:pos="13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83" w:lineRule="exact"/>
        <w:rPr>
          <w:sz w:val="20"/>
          <w:szCs w:val="20"/>
          <w:color w:val="auto"/>
        </w:rPr>
      </w:pPr>
    </w:p>
    <w:p>
      <w:pPr>
        <w:ind w:left="540" w:hanging="285"/>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5"/>
          <w:szCs w:val="15"/>
          <w:color w:val="auto"/>
        </w:rPr>
        <w:t>SEC USE ONLY</w:t>
      </w:r>
    </w:p>
    <w:p>
      <w:pPr>
        <w:spacing w:after="0" w:line="266" w:lineRule="exact"/>
        <w:rPr>
          <w:sz w:val="20"/>
          <w:szCs w:val="20"/>
          <w:color w:val="auto"/>
        </w:rPr>
      </w:pPr>
    </w:p>
    <w:p>
      <w:pPr>
        <w:ind w:left="540" w:hanging="285"/>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5"/>
          <w:szCs w:val="15"/>
          <w:color w:val="auto"/>
        </w:rPr>
        <w:t xml:space="preserve">SOURCE OF FUNDS </w:t>
      </w:r>
      <w:r>
        <w:rPr>
          <w:rFonts w:ascii="Arial" w:cs="Arial" w:eastAsia="Arial" w:hAnsi="Arial"/>
          <w:sz w:val="18"/>
          <w:szCs w:val="18"/>
          <w:color w:val="auto"/>
        </w:rPr>
        <w:t>(See Instructions)</w:t>
      </w:r>
    </w:p>
    <w:p>
      <w:pPr>
        <w:spacing w:after="0" w:line="24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WC</w:t>
      </w:r>
    </w:p>
    <w:p>
      <w:pPr>
        <w:spacing w:after="0" w:line="24" w:lineRule="exact"/>
        <w:rPr>
          <w:sz w:val="20"/>
          <w:szCs w:val="20"/>
          <w:color w:val="auto"/>
        </w:rPr>
      </w:pPr>
    </w:p>
    <w:p>
      <w:pPr>
        <w:ind w:left="540" w:hanging="285"/>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5"/>
          <w:szCs w:val="15"/>
          <w:color w:val="auto"/>
        </w:rPr>
        <w:t xml:space="preserve">CHECK IF DISCLOSURE OF LEGAL PROCEEDINGS IS REQUIRED PURSUANT TO ITEMS </w:t>
      </w:r>
      <w:r>
        <w:rPr>
          <w:rFonts w:ascii="Arial" w:cs="Arial" w:eastAsia="Arial" w:hAnsi="Arial"/>
          <w:sz w:val="18"/>
          <w:szCs w:val="18"/>
          <w:color w:val="auto"/>
        </w:rPr>
        <w:t>2(d) or 2(e)</w:t>
      </w:r>
    </w:p>
    <w:p>
      <w:pPr>
        <w:spacing w:after="0" w:line="279"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 xml:space="preserve">6  </w:t>
      </w:r>
      <w:r>
        <w:rPr>
          <w:rFonts w:ascii="Arial" w:cs="Arial" w:eastAsia="Arial" w:hAnsi="Arial"/>
          <w:sz w:val="15"/>
          <w:szCs w:val="15"/>
          <w:color w:val="auto"/>
        </w:rPr>
        <w:t>CITIZENSHIP OR PLACE OF ORGANIZATION</w:t>
      </w:r>
    </w:p>
    <w:p>
      <w:pPr>
        <w:spacing w:after="0" w:line="24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L</w:t>
      </w:r>
      <w:r>
        <w:rPr>
          <w:rFonts w:ascii="Arial" w:cs="Arial" w:eastAsia="Arial" w:hAnsi="Arial"/>
          <w:sz w:val="18"/>
          <w:szCs w:val="18"/>
          <w:color w:val="auto"/>
        </w:rPr>
        <w:t>UXEMBOURG</w:t>
      </w:r>
    </w:p>
    <w:p>
      <w:pPr>
        <w:spacing w:after="0" w:line="38" w:lineRule="exact"/>
        <w:rPr>
          <w:sz w:val="20"/>
          <w:szCs w:val="20"/>
          <w:color w:val="auto"/>
        </w:rPr>
      </w:pPr>
    </w:p>
    <w:p>
      <w:pPr>
        <w:ind w:left="1700" w:hanging="265"/>
        <w:spacing w:after="0"/>
        <w:tabs>
          <w:tab w:leader="none" w:pos="1700" w:val="left"/>
        </w:tabs>
        <w:numPr>
          <w:ilvl w:val="0"/>
          <w:numId w:val="7"/>
        </w:numPr>
        <w:rPr>
          <w:rFonts w:ascii="Arial" w:cs="Arial" w:eastAsia="Arial" w:hAnsi="Arial"/>
          <w:sz w:val="18"/>
          <w:szCs w:val="18"/>
          <w:color w:val="auto"/>
        </w:rPr>
      </w:pPr>
      <w:r>
        <w:rPr>
          <w:rFonts w:ascii="Arial" w:cs="Arial" w:eastAsia="Arial" w:hAnsi="Arial"/>
          <w:sz w:val="15"/>
          <w:szCs w:val="15"/>
          <w:color w:val="auto"/>
        </w:rPr>
        <w:t>SOLE VOTING POWER</w:t>
      </w:r>
    </w:p>
    <w:p>
      <w:pPr>
        <w:spacing w:after="0" w:line="232" w:lineRule="exact"/>
        <w:rPr>
          <w:sz w:val="20"/>
          <w:szCs w:val="20"/>
          <w:color w:val="auto"/>
        </w:rPr>
      </w:pPr>
    </w:p>
    <w:tbl>
      <w:tblPr>
        <w:tblLayout w:type="fixed"/>
        <w:tblInd w:w="160" w:type="dxa"/>
        <w:tblCellMar>
          <w:top w:w="0" w:type="dxa"/>
          <w:left w:w="0" w:type="dxa"/>
          <w:bottom w:w="0" w:type="dxa"/>
          <w:right w:w="0" w:type="dxa"/>
        </w:tblCellMar>
      </w:tblPr>
      <w:tr>
        <w:trPr>
          <w:trHeight w:val="276"/>
        </w:trPr>
        <w:tc>
          <w:tcPr>
            <w:tcW w:w="1060" w:type="dxa"/>
            <w:vAlign w:val="bottom"/>
            <w:vMerge w:val="restart"/>
          </w:tcPr>
          <w:p>
            <w:pPr>
              <w:jc w:val="center"/>
              <w:spacing w:after="0"/>
              <w:rPr>
                <w:sz w:val="20"/>
                <w:szCs w:val="20"/>
                <w:color w:val="auto"/>
              </w:rPr>
            </w:pPr>
            <w:r>
              <w:rPr>
                <w:rFonts w:ascii="Arial" w:cs="Arial" w:eastAsia="Arial" w:hAnsi="Arial"/>
                <w:sz w:val="15"/>
                <w:szCs w:val="15"/>
                <w:color w:val="auto"/>
                <w:w w:val="97"/>
              </w:rPr>
              <w:t>NUMBER OF</w:t>
            </w: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 (S</w:t>
            </w:r>
            <w:r>
              <w:rPr>
                <w:rFonts w:ascii="Arial" w:cs="Arial" w:eastAsia="Arial" w:hAnsi="Arial"/>
                <w:sz w:val="18"/>
                <w:szCs w:val="18"/>
                <w:color w:val="auto"/>
              </w:rPr>
              <w:t>EE</w:t>
            </w:r>
            <w:r>
              <w:rPr>
                <w:rFonts w:ascii="Arial" w:cs="Arial" w:eastAsia="Arial" w:hAnsi="Arial"/>
                <w:sz w:val="22"/>
                <w:szCs w:val="22"/>
                <w:color w:val="auto"/>
              </w:rPr>
              <w:t xml:space="preserve"> I</w:t>
            </w:r>
            <w:r>
              <w:rPr>
                <w:rFonts w:ascii="Arial" w:cs="Arial" w:eastAsia="Arial" w:hAnsi="Arial"/>
                <w:sz w:val="18"/>
                <w:szCs w:val="18"/>
                <w:color w:val="auto"/>
              </w:rPr>
              <w:t>TEMS</w:t>
            </w:r>
            <w:r>
              <w:rPr>
                <w:rFonts w:ascii="Arial" w:cs="Arial" w:eastAsia="Arial" w:hAnsi="Arial"/>
                <w:sz w:val="22"/>
                <w:szCs w:val="22"/>
                <w:color w:val="auto"/>
              </w:rPr>
              <w:t xml:space="preserve"> 2 </w:t>
            </w:r>
            <w:r>
              <w:rPr>
                <w:rFonts w:ascii="Arial" w:cs="Arial" w:eastAsia="Arial" w:hAnsi="Arial"/>
                <w:sz w:val="18"/>
                <w:szCs w:val="18"/>
                <w:color w:val="auto"/>
              </w:rPr>
              <w:t>AND</w:t>
            </w:r>
            <w:r>
              <w:rPr>
                <w:rFonts w:ascii="Arial" w:cs="Arial" w:eastAsia="Arial" w:hAnsi="Arial"/>
                <w:sz w:val="22"/>
                <w:szCs w:val="22"/>
                <w:color w:val="auto"/>
              </w:rPr>
              <w:t xml:space="preserve"> 5)</w:t>
            </w:r>
          </w:p>
        </w:tc>
        <w:tc>
          <w:tcPr>
            <w:tcW w:w="0" w:type="dxa"/>
            <w:vAlign w:val="bottom"/>
          </w:tcPr>
          <w:p>
            <w:pPr>
              <w:spacing w:after="0"/>
              <w:rPr>
                <w:sz w:val="1"/>
                <w:szCs w:val="1"/>
                <w:color w:val="auto"/>
              </w:rPr>
            </w:pPr>
          </w:p>
        </w:tc>
      </w:tr>
      <w:tr>
        <w:trPr>
          <w:trHeight w:val="106"/>
        </w:trPr>
        <w:tc>
          <w:tcPr>
            <w:tcW w:w="10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vMerge w:val="restart"/>
          </w:tcPr>
          <w:p>
            <w:pPr>
              <w:jc w:val="right"/>
              <w:ind w:right="10"/>
              <w:spacing w:after="0"/>
              <w:rPr>
                <w:sz w:val="20"/>
                <w:szCs w:val="20"/>
                <w:color w:val="auto"/>
              </w:rPr>
            </w:pPr>
            <w:r>
              <w:rPr>
                <w:rFonts w:ascii="Arial" w:cs="Arial" w:eastAsia="Arial" w:hAnsi="Arial"/>
                <w:sz w:val="18"/>
                <w:szCs w:val="18"/>
                <w:color w:val="auto"/>
              </w:rPr>
              <w:t>8</w:t>
            </w:r>
          </w:p>
        </w:tc>
        <w:tc>
          <w:tcPr>
            <w:tcW w:w="9820" w:type="dxa"/>
            <w:vAlign w:val="bottom"/>
            <w:vMerge w:val="restart"/>
          </w:tcPr>
          <w:p>
            <w:pPr>
              <w:ind w:left="80"/>
              <w:spacing w:after="0"/>
              <w:rPr>
                <w:sz w:val="20"/>
                <w:szCs w:val="20"/>
                <w:color w:val="auto"/>
              </w:rPr>
            </w:pPr>
            <w:r>
              <w:rPr>
                <w:rFonts w:ascii="Arial" w:cs="Arial" w:eastAsia="Arial" w:hAnsi="Arial"/>
                <w:sz w:val="15"/>
                <w:szCs w:val="15"/>
                <w:color w:val="auto"/>
              </w:rPr>
              <w:t>SHARED VOTING POWER</w:t>
            </w:r>
          </w:p>
        </w:tc>
        <w:tc>
          <w:tcPr>
            <w:tcW w:w="0" w:type="dxa"/>
            <w:vAlign w:val="bottom"/>
          </w:tcPr>
          <w:p>
            <w:pPr>
              <w:spacing w:after="0"/>
              <w:rPr>
                <w:sz w:val="1"/>
                <w:szCs w:val="1"/>
                <w:color w:val="auto"/>
              </w:rPr>
            </w:pPr>
          </w:p>
        </w:tc>
      </w:tr>
      <w:tr>
        <w:trPr>
          <w:trHeight w:val="119"/>
        </w:trPr>
        <w:tc>
          <w:tcPr>
            <w:tcW w:w="1120" w:type="dxa"/>
            <w:vAlign w:val="bottom"/>
            <w:gridSpan w:val="2"/>
            <w:vMerge w:val="restart"/>
          </w:tcPr>
          <w:p>
            <w:pPr>
              <w:jc w:val="center"/>
              <w:ind w:right="60"/>
              <w:spacing w:after="0" w:line="162" w:lineRule="exact"/>
              <w:rPr>
                <w:sz w:val="20"/>
                <w:szCs w:val="20"/>
                <w:color w:val="auto"/>
              </w:rPr>
            </w:pPr>
            <w:r>
              <w:rPr>
                <w:rFonts w:ascii="Arial" w:cs="Arial" w:eastAsia="Arial" w:hAnsi="Arial"/>
                <w:sz w:val="15"/>
                <w:szCs w:val="15"/>
                <w:color w:val="auto"/>
                <w:w w:val="93"/>
              </w:rPr>
              <w:t>SHARES</w:t>
            </w:r>
          </w:p>
        </w:tc>
        <w:tc>
          <w:tcPr>
            <w:tcW w:w="340" w:type="dxa"/>
            <w:vAlign w:val="bottom"/>
            <w:vMerge w:val="continue"/>
          </w:tcPr>
          <w:p>
            <w:pPr>
              <w:spacing w:after="0"/>
              <w:rPr>
                <w:sz w:val="10"/>
                <w:szCs w:val="10"/>
                <w:color w:val="auto"/>
              </w:rPr>
            </w:pPr>
          </w:p>
        </w:tc>
        <w:tc>
          <w:tcPr>
            <w:tcW w:w="9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3"/>
        </w:trPr>
        <w:tc>
          <w:tcPr>
            <w:tcW w:w="112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9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1120" w:type="dxa"/>
            <w:vAlign w:val="bottom"/>
            <w:gridSpan w:val="2"/>
          </w:tcPr>
          <w:p>
            <w:pPr>
              <w:jc w:val="center"/>
              <w:ind w:right="60"/>
              <w:spacing w:after="0"/>
              <w:rPr>
                <w:sz w:val="20"/>
                <w:szCs w:val="20"/>
                <w:color w:val="auto"/>
              </w:rPr>
            </w:pPr>
            <w:r>
              <w:rPr>
                <w:rFonts w:ascii="Arial" w:cs="Arial" w:eastAsia="Arial" w:hAnsi="Arial"/>
                <w:sz w:val="15"/>
                <w:szCs w:val="15"/>
                <w:color w:val="auto"/>
              </w:rPr>
              <w:t>BENEFICIALLY</w:t>
            </w:r>
          </w:p>
        </w:tc>
        <w:tc>
          <w:tcPr>
            <w:tcW w:w="340" w:type="dxa"/>
            <w:vAlign w:val="bottom"/>
          </w:tcPr>
          <w:p>
            <w:pPr>
              <w:spacing w:after="0"/>
              <w:rPr>
                <w:sz w:val="16"/>
                <w:szCs w:val="16"/>
                <w:color w:val="auto"/>
              </w:rPr>
            </w:pPr>
          </w:p>
        </w:tc>
        <w:tc>
          <w:tcPr>
            <w:tcW w:w="9820" w:type="dxa"/>
            <w:vAlign w:val="bottom"/>
            <w:vMerge w:val="restart"/>
          </w:tcPr>
          <w:p>
            <w:pPr>
              <w:ind w:left="80"/>
              <w:spacing w:after="0"/>
              <w:rPr>
                <w:sz w:val="20"/>
                <w:szCs w:val="20"/>
                <w:color w:val="auto"/>
              </w:rPr>
            </w:pPr>
            <w:r>
              <w:rPr>
                <w:rFonts w:ascii="Arial" w:cs="Arial" w:eastAsia="Arial" w:hAnsi="Arial"/>
                <w:sz w:val="22"/>
                <w:szCs w:val="22"/>
                <w:color w:val="auto"/>
              </w:rPr>
              <w:t>6,011,106 (S</w:t>
            </w:r>
            <w:r>
              <w:rPr>
                <w:rFonts w:ascii="Arial" w:cs="Arial" w:eastAsia="Arial" w:hAnsi="Arial"/>
                <w:sz w:val="18"/>
                <w:szCs w:val="18"/>
                <w:color w:val="auto"/>
              </w:rPr>
              <w:t>EE</w:t>
            </w:r>
            <w:r>
              <w:rPr>
                <w:rFonts w:ascii="Arial" w:cs="Arial" w:eastAsia="Arial" w:hAnsi="Arial"/>
                <w:sz w:val="22"/>
                <w:szCs w:val="22"/>
                <w:color w:val="auto"/>
              </w:rPr>
              <w:t xml:space="preserve"> I</w:t>
            </w:r>
            <w:r>
              <w:rPr>
                <w:rFonts w:ascii="Arial" w:cs="Arial" w:eastAsia="Arial" w:hAnsi="Arial"/>
                <w:sz w:val="18"/>
                <w:szCs w:val="18"/>
                <w:color w:val="auto"/>
              </w:rPr>
              <w:t>TEMS</w:t>
            </w:r>
            <w:r>
              <w:rPr>
                <w:rFonts w:ascii="Arial" w:cs="Arial" w:eastAsia="Arial" w:hAnsi="Arial"/>
                <w:sz w:val="22"/>
                <w:szCs w:val="22"/>
                <w:color w:val="auto"/>
              </w:rPr>
              <w:t xml:space="preserve"> 2 </w:t>
            </w:r>
            <w:r>
              <w:rPr>
                <w:rFonts w:ascii="Arial" w:cs="Arial" w:eastAsia="Arial" w:hAnsi="Arial"/>
                <w:sz w:val="18"/>
                <w:szCs w:val="18"/>
                <w:color w:val="auto"/>
              </w:rPr>
              <w:t>AND</w:t>
            </w:r>
            <w:r>
              <w:rPr>
                <w:rFonts w:ascii="Arial" w:cs="Arial" w:eastAsia="Arial" w:hAnsi="Arial"/>
                <w:sz w:val="22"/>
                <w:szCs w:val="22"/>
                <w:color w:val="auto"/>
              </w:rPr>
              <w:t xml:space="preserve"> 5)</w:t>
            </w:r>
          </w:p>
        </w:tc>
        <w:tc>
          <w:tcPr>
            <w:tcW w:w="0" w:type="dxa"/>
            <w:vAlign w:val="bottom"/>
          </w:tcPr>
          <w:p>
            <w:pPr>
              <w:spacing w:after="0"/>
              <w:rPr>
                <w:sz w:val="1"/>
                <w:szCs w:val="1"/>
                <w:color w:val="auto"/>
              </w:rPr>
            </w:pPr>
          </w:p>
        </w:tc>
      </w:tr>
      <w:tr>
        <w:trPr>
          <w:trHeight w:val="189"/>
        </w:trPr>
        <w:tc>
          <w:tcPr>
            <w:tcW w:w="1120" w:type="dxa"/>
            <w:vAlign w:val="bottom"/>
            <w:gridSpan w:val="2"/>
          </w:tcPr>
          <w:p>
            <w:pPr>
              <w:jc w:val="center"/>
              <w:ind w:right="60"/>
              <w:spacing w:after="0"/>
              <w:rPr>
                <w:sz w:val="20"/>
                <w:szCs w:val="20"/>
                <w:color w:val="auto"/>
              </w:rPr>
            </w:pPr>
            <w:r>
              <w:rPr>
                <w:rFonts w:ascii="Arial" w:cs="Arial" w:eastAsia="Arial" w:hAnsi="Arial"/>
                <w:sz w:val="15"/>
                <w:szCs w:val="15"/>
                <w:color w:val="auto"/>
              </w:rPr>
              <w:t>OWNED BY</w:t>
            </w:r>
          </w:p>
        </w:tc>
        <w:tc>
          <w:tcPr>
            <w:tcW w:w="340" w:type="dxa"/>
            <w:vAlign w:val="bottom"/>
          </w:tcPr>
          <w:p>
            <w:pPr>
              <w:spacing w:after="0"/>
              <w:rPr>
                <w:sz w:val="16"/>
                <w:szCs w:val="16"/>
                <w:color w:val="auto"/>
              </w:rPr>
            </w:pPr>
          </w:p>
        </w:tc>
        <w:tc>
          <w:tcPr>
            <w:tcW w:w="9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1060" w:type="dxa"/>
            <w:vAlign w:val="bottom"/>
            <w:vMerge w:val="restart"/>
          </w:tcPr>
          <w:p>
            <w:pPr>
              <w:jc w:val="center"/>
              <w:spacing w:after="0" w:line="162" w:lineRule="exact"/>
              <w:rPr>
                <w:sz w:val="20"/>
                <w:szCs w:val="20"/>
                <w:color w:val="auto"/>
              </w:rPr>
            </w:pPr>
            <w:r>
              <w:rPr>
                <w:rFonts w:ascii="Arial" w:cs="Arial" w:eastAsia="Arial" w:hAnsi="Arial"/>
                <w:sz w:val="15"/>
                <w:szCs w:val="15"/>
                <w:color w:val="auto"/>
                <w:w w:val="95"/>
              </w:rPr>
              <w:t>EACH</w:t>
            </w:r>
          </w:p>
        </w:tc>
        <w:tc>
          <w:tcPr>
            <w:tcW w:w="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10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vMerge w:val="restart"/>
          </w:tcPr>
          <w:p>
            <w:pPr>
              <w:jc w:val="right"/>
              <w:ind w:right="10"/>
              <w:spacing w:after="0"/>
              <w:rPr>
                <w:sz w:val="20"/>
                <w:szCs w:val="20"/>
                <w:color w:val="auto"/>
              </w:rPr>
            </w:pPr>
            <w:r>
              <w:rPr>
                <w:rFonts w:ascii="Arial" w:cs="Arial" w:eastAsia="Arial" w:hAnsi="Arial"/>
                <w:sz w:val="18"/>
                <w:szCs w:val="18"/>
                <w:color w:val="auto"/>
              </w:rPr>
              <w:t>9</w:t>
            </w:r>
          </w:p>
        </w:tc>
        <w:tc>
          <w:tcPr>
            <w:tcW w:w="9820" w:type="dxa"/>
            <w:vAlign w:val="bottom"/>
            <w:vMerge w:val="restart"/>
          </w:tcPr>
          <w:p>
            <w:pPr>
              <w:ind w:left="80"/>
              <w:spacing w:after="0"/>
              <w:rPr>
                <w:sz w:val="20"/>
                <w:szCs w:val="20"/>
                <w:color w:val="auto"/>
              </w:rPr>
            </w:pPr>
            <w:r>
              <w:rPr>
                <w:rFonts w:ascii="Arial" w:cs="Arial" w:eastAsia="Arial" w:hAnsi="Arial"/>
                <w:sz w:val="15"/>
                <w:szCs w:val="15"/>
                <w:color w:val="auto"/>
              </w:rPr>
              <w:t>SOLE DISPOSITIVE POWER</w:t>
            </w:r>
          </w:p>
        </w:tc>
        <w:tc>
          <w:tcPr>
            <w:tcW w:w="0" w:type="dxa"/>
            <w:vAlign w:val="bottom"/>
          </w:tcPr>
          <w:p>
            <w:pPr>
              <w:spacing w:after="0"/>
              <w:rPr>
                <w:sz w:val="1"/>
                <w:szCs w:val="1"/>
                <w:color w:val="auto"/>
              </w:rPr>
            </w:pPr>
          </w:p>
        </w:tc>
      </w:tr>
      <w:tr>
        <w:trPr>
          <w:trHeight w:val="162"/>
        </w:trPr>
        <w:tc>
          <w:tcPr>
            <w:tcW w:w="1120" w:type="dxa"/>
            <w:vAlign w:val="bottom"/>
            <w:gridSpan w:val="2"/>
          </w:tcPr>
          <w:p>
            <w:pPr>
              <w:jc w:val="center"/>
              <w:ind w:right="40"/>
              <w:spacing w:after="0" w:line="162" w:lineRule="exact"/>
              <w:rPr>
                <w:sz w:val="20"/>
                <w:szCs w:val="20"/>
                <w:color w:val="auto"/>
              </w:rPr>
            </w:pPr>
            <w:r>
              <w:rPr>
                <w:rFonts w:ascii="Arial" w:cs="Arial" w:eastAsia="Arial" w:hAnsi="Arial"/>
                <w:sz w:val="15"/>
                <w:szCs w:val="15"/>
                <w:color w:val="auto"/>
                <w:w w:val="94"/>
              </w:rPr>
              <w:t>REPORTING</w:t>
            </w:r>
          </w:p>
        </w:tc>
        <w:tc>
          <w:tcPr>
            <w:tcW w:w="340" w:type="dxa"/>
            <w:vAlign w:val="bottom"/>
            <w:vMerge w:val="continue"/>
          </w:tcPr>
          <w:p>
            <w:pPr>
              <w:spacing w:after="0"/>
              <w:rPr>
                <w:sz w:val="14"/>
                <w:szCs w:val="14"/>
                <w:color w:val="auto"/>
              </w:rPr>
            </w:pPr>
          </w:p>
        </w:tc>
        <w:tc>
          <w:tcPr>
            <w:tcW w:w="9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20" w:type="dxa"/>
            <w:vAlign w:val="bottom"/>
            <w:gridSpan w:val="2"/>
          </w:tcPr>
          <w:p>
            <w:pPr>
              <w:jc w:val="center"/>
              <w:ind w:right="60"/>
              <w:spacing w:after="0" w:line="162" w:lineRule="exact"/>
              <w:rPr>
                <w:sz w:val="20"/>
                <w:szCs w:val="20"/>
                <w:color w:val="auto"/>
              </w:rPr>
            </w:pPr>
            <w:r>
              <w:rPr>
                <w:rFonts w:ascii="Arial" w:cs="Arial" w:eastAsia="Arial" w:hAnsi="Arial"/>
                <w:sz w:val="15"/>
                <w:szCs w:val="15"/>
                <w:color w:val="auto"/>
                <w:w w:val="91"/>
              </w:rPr>
              <w:t>PERSON</w:t>
            </w:r>
          </w:p>
        </w:tc>
        <w:tc>
          <w:tcPr>
            <w:tcW w:w="340" w:type="dxa"/>
            <w:vAlign w:val="bottom"/>
          </w:tcPr>
          <w:p>
            <w:pPr>
              <w:spacing w:after="0"/>
              <w:rPr>
                <w:sz w:val="14"/>
                <w:szCs w:val="14"/>
                <w:color w:val="auto"/>
              </w:rPr>
            </w:pPr>
          </w:p>
        </w:tc>
        <w:tc>
          <w:tcPr>
            <w:tcW w:w="9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120" w:type="dxa"/>
            <w:vAlign w:val="bottom"/>
            <w:gridSpan w:val="2"/>
          </w:tcPr>
          <w:p>
            <w:pPr>
              <w:jc w:val="center"/>
              <w:ind w:right="40"/>
              <w:spacing w:after="0"/>
              <w:rPr>
                <w:sz w:val="20"/>
                <w:szCs w:val="20"/>
                <w:color w:val="auto"/>
              </w:rPr>
            </w:pPr>
            <w:r>
              <w:rPr>
                <w:rFonts w:ascii="Arial" w:cs="Arial" w:eastAsia="Arial" w:hAnsi="Arial"/>
                <w:sz w:val="15"/>
                <w:szCs w:val="15"/>
                <w:color w:val="auto"/>
              </w:rPr>
              <w:t>WITH</w:t>
            </w:r>
          </w:p>
        </w:tc>
        <w:tc>
          <w:tcPr>
            <w:tcW w:w="340" w:type="dxa"/>
            <w:vAlign w:val="bottom"/>
          </w:tcPr>
          <w:p>
            <w:pPr>
              <w:spacing w:after="0"/>
              <w:rPr>
                <w:sz w:val="16"/>
                <w:szCs w:val="16"/>
                <w:color w:val="auto"/>
              </w:rPr>
            </w:pPr>
          </w:p>
        </w:tc>
        <w:tc>
          <w:tcPr>
            <w:tcW w:w="9820" w:type="dxa"/>
            <w:vAlign w:val="bottom"/>
            <w:vMerge w:val="restart"/>
          </w:tcPr>
          <w:p>
            <w:pPr>
              <w:ind w:left="80"/>
              <w:spacing w:after="0"/>
              <w:rPr>
                <w:sz w:val="20"/>
                <w:szCs w:val="20"/>
                <w:color w:val="auto"/>
              </w:rPr>
            </w:pPr>
            <w:r>
              <w:rPr>
                <w:rFonts w:ascii="Arial" w:cs="Arial" w:eastAsia="Arial" w:hAnsi="Arial"/>
                <w:sz w:val="22"/>
                <w:szCs w:val="22"/>
                <w:color w:val="auto"/>
              </w:rPr>
              <w:t>0 (S</w:t>
            </w:r>
            <w:r>
              <w:rPr>
                <w:rFonts w:ascii="Arial" w:cs="Arial" w:eastAsia="Arial" w:hAnsi="Arial"/>
                <w:sz w:val="18"/>
                <w:szCs w:val="18"/>
                <w:color w:val="auto"/>
              </w:rPr>
              <w:t>EE</w:t>
            </w:r>
            <w:r>
              <w:rPr>
                <w:rFonts w:ascii="Arial" w:cs="Arial" w:eastAsia="Arial" w:hAnsi="Arial"/>
                <w:sz w:val="22"/>
                <w:szCs w:val="22"/>
                <w:color w:val="auto"/>
              </w:rPr>
              <w:t xml:space="preserve"> I</w:t>
            </w:r>
            <w:r>
              <w:rPr>
                <w:rFonts w:ascii="Arial" w:cs="Arial" w:eastAsia="Arial" w:hAnsi="Arial"/>
                <w:sz w:val="18"/>
                <w:szCs w:val="18"/>
                <w:color w:val="auto"/>
              </w:rPr>
              <w:t>TEMS</w:t>
            </w:r>
            <w:r>
              <w:rPr>
                <w:rFonts w:ascii="Arial" w:cs="Arial" w:eastAsia="Arial" w:hAnsi="Arial"/>
                <w:sz w:val="22"/>
                <w:szCs w:val="22"/>
                <w:color w:val="auto"/>
              </w:rPr>
              <w:t xml:space="preserve"> 2 </w:t>
            </w:r>
            <w:r>
              <w:rPr>
                <w:rFonts w:ascii="Arial" w:cs="Arial" w:eastAsia="Arial" w:hAnsi="Arial"/>
                <w:sz w:val="18"/>
                <w:szCs w:val="18"/>
                <w:color w:val="auto"/>
              </w:rPr>
              <w:t>AND</w:t>
            </w:r>
            <w:r>
              <w:rPr>
                <w:rFonts w:ascii="Arial" w:cs="Arial" w:eastAsia="Arial" w:hAnsi="Arial"/>
                <w:sz w:val="22"/>
                <w:szCs w:val="22"/>
                <w:color w:val="auto"/>
              </w:rPr>
              <w:t xml:space="preserve"> 5)</w:t>
            </w:r>
          </w:p>
        </w:tc>
        <w:tc>
          <w:tcPr>
            <w:tcW w:w="0" w:type="dxa"/>
            <w:vAlign w:val="bottom"/>
          </w:tcPr>
          <w:p>
            <w:pPr>
              <w:spacing w:after="0"/>
              <w:rPr>
                <w:sz w:val="1"/>
                <w:szCs w:val="1"/>
                <w:color w:val="auto"/>
              </w:rPr>
            </w:pPr>
          </w:p>
        </w:tc>
      </w:tr>
      <w:tr>
        <w:trPr>
          <w:trHeight w:val="116"/>
        </w:trPr>
        <w:tc>
          <w:tcPr>
            <w:tcW w:w="106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98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6"/>
        </w:trPr>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9820" w:type="dxa"/>
            <w:vAlign w:val="bottom"/>
          </w:tcPr>
          <w:p>
            <w:pPr>
              <w:ind w:left="80"/>
              <w:spacing w:after="0"/>
              <w:rPr>
                <w:sz w:val="20"/>
                <w:szCs w:val="20"/>
                <w:color w:val="auto"/>
              </w:rPr>
            </w:pPr>
            <w:r>
              <w:rPr>
                <w:rFonts w:ascii="Arial" w:cs="Arial" w:eastAsia="Arial" w:hAnsi="Arial"/>
                <w:sz w:val="15"/>
                <w:szCs w:val="15"/>
                <w:color w:val="auto"/>
              </w:rPr>
              <w:t>SHARED DISPOSITIVE POWER</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700"/>
        <w:spacing w:after="0"/>
        <w:rPr>
          <w:sz w:val="20"/>
          <w:szCs w:val="20"/>
          <w:color w:val="auto"/>
        </w:rPr>
      </w:pPr>
      <w:r>
        <w:rPr>
          <w:rFonts w:ascii="Arial" w:cs="Arial" w:eastAsia="Arial" w:hAnsi="Arial"/>
          <w:sz w:val="22"/>
          <w:szCs w:val="22"/>
          <w:color w:val="auto"/>
        </w:rPr>
        <w:t>6,011,106 (S</w:t>
      </w:r>
      <w:r>
        <w:rPr>
          <w:rFonts w:ascii="Arial" w:cs="Arial" w:eastAsia="Arial" w:hAnsi="Arial"/>
          <w:sz w:val="18"/>
          <w:szCs w:val="18"/>
          <w:color w:val="auto"/>
        </w:rPr>
        <w:t>EE</w:t>
      </w:r>
      <w:r>
        <w:rPr>
          <w:rFonts w:ascii="Arial" w:cs="Arial" w:eastAsia="Arial" w:hAnsi="Arial"/>
          <w:sz w:val="22"/>
          <w:szCs w:val="22"/>
          <w:color w:val="auto"/>
        </w:rPr>
        <w:t xml:space="preserve"> I</w:t>
      </w:r>
      <w:r>
        <w:rPr>
          <w:rFonts w:ascii="Arial" w:cs="Arial" w:eastAsia="Arial" w:hAnsi="Arial"/>
          <w:sz w:val="18"/>
          <w:szCs w:val="18"/>
          <w:color w:val="auto"/>
        </w:rPr>
        <w:t>TEMS</w:t>
      </w:r>
      <w:r>
        <w:rPr>
          <w:rFonts w:ascii="Arial" w:cs="Arial" w:eastAsia="Arial" w:hAnsi="Arial"/>
          <w:sz w:val="22"/>
          <w:szCs w:val="22"/>
          <w:color w:val="auto"/>
        </w:rPr>
        <w:t xml:space="preserve"> 2 </w:t>
      </w:r>
      <w:r>
        <w:rPr>
          <w:rFonts w:ascii="Arial" w:cs="Arial" w:eastAsia="Arial" w:hAnsi="Arial"/>
          <w:sz w:val="18"/>
          <w:szCs w:val="18"/>
          <w:color w:val="auto"/>
        </w:rPr>
        <w:t>AND</w:t>
      </w:r>
      <w:r>
        <w:rPr>
          <w:rFonts w:ascii="Arial" w:cs="Arial" w:eastAsia="Arial" w:hAnsi="Arial"/>
          <w:sz w:val="22"/>
          <w:szCs w:val="22"/>
          <w:color w:val="auto"/>
        </w:rPr>
        <w:t xml:space="preserve"> 5)</w:t>
      </w:r>
    </w:p>
    <w:p>
      <w:pPr>
        <w:spacing w:after="0" w:line="38" w:lineRule="exact"/>
        <w:rPr>
          <w:sz w:val="20"/>
          <w:szCs w:val="20"/>
          <w:color w:val="auto"/>
        </w:rPr>
      </w:pPr>
    </w:p>
    <w:p>
      <w:pPr>
        <w:ind w:left="540" w:hanging="375"/>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5"/>
          <w:szCs w:val="15"/>
          <w:color w:val="auto"/>
        </w:rPr>
        <w:t>AGGREGATE AMOUNT BENEFICIALLY OWNED BY EACH REPORTING PERSON</w:t>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22"/>
          <w:szCs w:val="22"/>
          <w:color w:val="auto"/>
        </w:rPr>
        <w:t>6,011,106 (S</w:t>
      </w:r>
      <w:r>
        <w:rPr>
          <w:rFonts w:ascii="Arial" w:cs="Arial" w:eastAsia="Arial" w:hAnsi="Arial"/>
          <w:sz w:val="18"/>
          <w:szCs w:val="18"/>
          <w:color w:val="auto"/>
        </w:rPr>
        <w:t>EE</w:t>
      </w:r>
      <w:r>
        <w:rPr>
          <w:rFonts w:ascii="Arial" w:cs="Arial" w:eastAsia="Arial" w:hAnsi="Arial"/>
          <w:sz w:val="22"/>
          <w:szCs w:val="22"/>
          <w:color w:val="auto"/>
        </w:rPr>
        <w:t xml:space="preserve"> I</w:t>
      </w:r>
      <w:r>
        <w:rPr>
          <w:rFonts w:ascii="Arial" w:cs="Arial" w:eastAsia="Arial" w:hAnsi="Arial"/>
          <w:sz w:val="18"/>
          <w:szCs w:val="18"/>
          <w:color w:val="auto"/>
        </w:rPr>
        <w:t>TEMS</w:t>
      </w:r>
      <w:r>
        <w:rPr>
          <w:rFonts w:ascii="Arial" w:cs="Arial" w:eastAsia="Arial" w:hAnsi="Arial"/>
          <w:sz w:val="22"/>
          <w:szCs w:val="22"/>
          <w:color w:val="auto"/>
        </w:rPr>
        <w:t xml:space="preserve"> 2 </w:t>
      </w:r>
      <w:r>
        <w:rPr>
          <w:rFonts w:ascii="Arial" w:cs="Arial" w:eastAsia="Arial" w:hAnsi="Arial"/>
          <w:sz w:val="18"/>
          <w:szCs w:val="18"/>
          <w:color w:val="auto"/>
        </w:rPr>
        <w:t>AND</w:t>
      </w:r>
      <w:r>
        <w:rPr>
          <w:rFonts w:ascii="Arial" w:cs="Arial" w:eastAsia="Arial" w:hAnsi="Arial"/>
          <w:sz w:val="22"/>
          <w:szCs w:val="22"/>
          <w:color w:val="auto"/>
        </w:rPr>
        <w:t xml:space="preserve"> 5)</w:t>
      </w:r>
    </w:p>
    <w:p>
      <w:pPr>
        <w:spacing w:after="0" w:line="24" w:lineRule="exact"/>
        <w:rPr>
          <w:sz w:val="20"/>
          <w:szCs w:val="20"/>
          <w:color w:val="auto"/>
        </w:rPr>
      </w:pPr>
    </w:p>
    <w:p>
      <w:pPr>
        <w:ind w:left="540" w:hanging="375"/>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5"/>
          <w:szCs w:val="15"/>
          <w:color w:val="auto"/>
        </w:rPr>
        <w:t xml:space="preserve">CHECK IF THE AGGREGATE AMOUNT IN ROW </w:t>
      </w:r>
      <w:r>
        <w:rPr>
          <w:rFonts w:ascii="Arial" w:cs="Arial" w:eastAsia="Arial" w:hAnsi="Arial"/>
          <w:sz w:val="18"/>
          <w:szCs w:val="18"/>
          <w:color w:val="auto"/>
        </w:rPr>
        <w:t>(11)</w:t>
      </w:r>
      <w:r>
        <w:rPr>
          <w:rFonts w:ascii="Arial" w:cs="Arial" w:eastAsia="Arial" w:hAnsi="Arial"/>
          <w:sz w:val="15"/>
          <w:szCs w:val="15"/>
          <w:color w:val="auto"/>
        </w:rPr>
        <w:t xml:space="preserve"> EXCLUDES CERTAIN SHARES</w:t>
      </w:r>
    </w:p>
    <w:p>
      <w:pPr>
        <w:spacing w:after="0" w:line="279" w:lineRule="exact"/>
        <w:rPr>
          <w:rFonts w:ascii="Arial" w:cs="Arial" w:eastAsia="Arial" w:hAnsi="Arial"/>
          <w:sz w:val="18"/>
          <w:szCs w:val="18"/>
          <w:color w:val="auto"/>
        </w:rPr>
      </w:pPr>
    </w:p>
    <w:p>
      <w:pPr>
        <w:ind w:left="540" w:hanging="375"/>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5"/>
          <w:szCs w:val="15"/>
          <w:color w:val="auto"/>
        </w:rPr>
        <w:t xml:space="preserve">PERCENT OF CLASS REPRESENTED BY AMOUNT IN ROW </w:t>
      </w:r>
      <w:r>
        <w:rPr>
          <w:rFonts w:ascii="Arial" w:cs="Arial" w:eastAsia="Arial" w:hAnsi="Arial"/>
          <w:sz w:val="18"/>
          <w:szCs w:val="18"/>
          <w:color w:val="auto"/>
        </w:rPr>
        <w:t>(11)</w:t>
      </w:r>
    </w:p>
    <w:p>
      <w:pPr>
        <w:spacing w:after="0" w:line="24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20.8% (S</w:t>
      </w:r>
      <w:r>
        <w:rPr>
          <w:rFonts w:ascii="Arial" w:cs="Arial" w:eastAsia="Arial" w:hAnsi="Arial"/>
          <w:sz w:val="18"/>
          <w:szCs w:val="18"/>
          <w:color w:val="auto"/>
        </w:rPr>
        <w:t>EE</w:t>
      </w:r>
      <w:r>
        <w:rPr>
          <w:rFonts w:ascii="Arial" w:cs="Arial" w:eastAsia="Arial" w:hAnsi="Arial"/>
          <w:sz w:val="22"/>
          <w:szCs w:val="22"/>
          <w:color w:val="auto"/>
        </w:rPr>
        <w:t xml:space="preserve"> I</w:t>
      </w:r>
      <w:r>
        <w:rPr>
          <w:rFonts w:ascii="Arial" w:cs="Arial" w:eastAsia="Arial" w:hAnsi="Arial"/>
          <w:sz w:val="18"/>
          <w:szCs w:val="18"/>
          <w:color w:val="auto"/>
        </w:rPr>
        <w:t>TEM</w:t>
      </w:r>
      <w:r>
        <w:rPr>
          <w:rFonts w:ascii="Arial" w:cs="Arial" w:eastAsia="Arial" w:hAnsi="Arial"/>
          <w:sz w:val="22"/>
          <w:szCs w:val="22"/>
          <w:color w:val="auto"/>
        </w:rPr>
        <w:t xml:space="preserve"> 5)</w:t>
      </w:r>
    </w:p>
    <w:p>
      <w:pPr>
        <w:spacing w:after="0" w:line="24" w:lineRule="exact"/>
        <w:rPr>
          <w:sz w:val="20"/>
          <w:szCs w:val="20"/>
          <w:color w:val="auto"/>
        </w:rPr>
      </w:pPr>
    </w:p>
    <w:p>
      <w:pPr>
        <w:ind w:left="540" w:hanging="375"/>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5"/>
          <w:szCs w:val="15"/>
          <w:color w:val="auto"/>
        </w:rPr>
        <w:t xml:space="preserve">TYPE OF REPORTING PERSON </w:t>
      </w:r>
      <w:r>
        <w:rPr>
          <w:rFonts w:ascii="Arial" w:cs="Arial" w:eastAsia="Arial" w:hAnsi="Arial"/>
          <w:sz w:val="18"/>
          <w:szCs w:val="18"/>
          <w:color w:val="auto"/>
        </w:rPr>
        <w:t>(See Instructions)</w:t>
      </w:r>
    </w:p>
    <w:p>
      <w:pPr>
        <w:spacing w:after="0" w:line="27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OO</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2 of 13 Pages</w:t>
      </w:r>
    </w:p>
    <w:p>
      <w:pPr>
        <w:sectPr>
          <w:pgSz w:w="11900" w:h="16838" w:orient="portrait"/>
          <w:cols w:equalWidth="0" w:num="1">
            <w:col w:w="11440"/>
          </w:cols>
          <w:pgMar w:left="240" w:top="274" w:right="21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760174 10 2</w:t>
      </w:r>
    </w:p>
    <w:p>
      <w:pPr>
        <w:spacing w:after="0" w:line="158" w:lineRule="exact"/>
        <w:rPr>
          <w:sz w:val="20"/>
          <w:szCs w:val="20"/>
          <w:color w:val="auto"/>
        </w:rPr>
      </w:pPr>
    </w:p>
    <w:p>
      <w:pPr>
        <w:ind w:left="540" w:hanging="285"/>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5"/>
          <w:szCs w:val="15"/>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54875" cy="6011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4875" cy="6011545"/>
                    </a:xfrm>
                    <a:prstGeom prst="rect">
                      <a:avLst/>
                    </a:prstGeom>
                    <a:noFill/>
                  </pic:spPr>
                </pic:pic>
              </a:graphicData>
            </a:graphic>
          </wp:anchor>
        </w:drawing>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22"/>
          <w:szCs w:val="22"/>
          <w:color w:val="auto"/>
        </w:rPr>
        <w:t xml:space="preserve">WPP </w:t>
      </w:r>
      <w:r>
        <w:rPr>
          <w:rFonts w:ascii="Arial" w:cs="Arial" w:eastAsia="Arial" w:hAnsi="Arial"/>
          <w:sz w:val="18"/>
          <w:szCs w:val="18"/>
          <w:color w:val="auto"/>
        </w:rPr>
        <w:t>PLC</w:t>
      </w:r>
    </w:p>
    <w:p>
      <w:pPr>
        <w:spacing w:after="0" w:line="24" w:lineRule="exact"/>
        <w:rPr>
          <w:sz w:val="20"/>
          <w:szCs w:val="20"/>
          <w:color w:val="auto"/>
        </w:rPr>
      </w:pPr>
    </w:p>
    <w:p>
      <w:pPr>
        <w:ind w:left="540" w:hanging="285"/>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5"/>
          <w:szCs w:val="15"/>
          <w:color w:val="auto"/>
        </w:rPr>
        <w:t xml:space="preserve">CHECK THE APPROPRIATE BOX IF A MEMBER OF A GROUP </w:t>
      </w:r>
      <w:r>
        <w:rPr>
          <w:rFonts w:ascii="Arial" w:cs="Arial" w:eastAsia="Arial" w:hAnsi="Arial"/>
          <w:sz w:val="18"/>
          <w:szCs w:val="18"/>
          <w:color w:val="auto"/>
        </w:rPr>
        <w:t>(See Instructions)</w:t>
      </w:r>
    </w:p>
    <w:p>
      <w:pPr>
        <w:spacing w:after="0" w:line="18" w:lineRule="exact"/>
        <w:rPr>
          <w:sz w:val="20"/>
          <w:szCs w:val="20"/>
          <w:color w:val="auto"/>
        </w:rPr>
      </w:pPr>
    </w:p>
    <w:p>
      <w:pPr>
        <w:ind w:left="540"/>
        <w:spacing w:after="0" w:line="207" w:lineRule="exact"/>
        <w:tabs>
          <w:tab w:leader="none" w:pos="13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83" w:lineRule="exact"/>
        <w:rPr>
          <w:sz w:val="20"/>
          <w:szCs w:val="20"/>
          <w:color w:val="auto"/>
        </w:rPr>
      </w:pPr>
    </w:p>
    <w:p>
      <w:pPr>
        <w:ind w:left="540" w:hanging="285"/>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5"/>
          <w:szCs w:val="15"/>
          <w:color w:val="auto"/>
        </w:rPr>
        <w:t>SEC USE ONLY</w:t>
      </w:r>
    </w:p>
    <w:p>
      <w:pPr>
        <w:spacing w:after="0" w:line="266" w:lineRule="exact"/>
        <w:rPr>
          <w:sz w:val="20"/>
          <w:szCs w:val="20"/>
          <w:color w:val="auto"/>
        </w:rPr>
      </w:pPr>
    </w:p>
    <w:p>
      <w:pPr>
        <w:ind w:left="540" w:hanging="285"/>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5"/>
          <w:szCs w:val="15"/>
          <w:color w:val="auto"/>
        </w:rPr>
        <w:t xml:space="preserve">SOURCE OF FUNDS </w:t>
      </w:r>
      <w:r>
        <w:rPr>
          <w:rFonts w:ascii="Arial" w:cs="Arial" w:eastAsia="Arial" w:hAnsi="Arial"/>
          <w:sz w:val="18"/>
          <w:szCs w:val="18"/>
          <w:color w:val="auto"/>
        </w:rPr>
        <w:t>(See Instructions)</w:t>
      </w:r>
    </w:p>
    <w:p>
      <w:pPr>
        <w:spacing w:after="0" w:line="24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AF</w:t>
      </w:r>
    </w:p>
    <w:p>
      <w:pPr>
        <w:spacing w:after="0" w:line="24" w:lineRule="exact"/>
        <w:rPr>
          <w:sz w:val="20"/>
          <w:szCs w:val="20"/>
          <w:color w:val="auto"/>
        </w:rPr>
      </w:pPr>
    </w:p>
    <w:p>
      <w:pPr>
        <w:ind w:left="540" w:hanging="285"/>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5"/>
          <w:szCs w:val="15"/>
          <w:color w:val="auto"/>
        </w:rPr>
        <w:t xml:space="preserve">CHECK IF DISCLOSURE OF LEGAL PROCEEDINGS IS REQUIRED PURSUANT TO ITEMS </w:t>
      </w:r>
      <w:r>
        <w:rPr>
          <w:rFonts w:ascii="Arial" w:cs="Arial" w:eastAsia="Arial" w:hAnsi="Arial"/>
          <w:sz w:val="18"/>
          <w:szCs w:val="18"/>
          <w:color w:val="auto"/>
        </w:rPr>
        <w:t>2(d) or 2(e)</w:t>
      </w:r>
    </w:p>
    <w:p>
      <w:pPr>
        <w:spacing w:after="0" w:line="279"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 xml:space="preserve">6  </w:t>
      </w:r>
      <w:r>
        <w:rPr>
          <w:rFonts w:ascii="Arial" w:cs="Arial" w:eastAsia="Arial" w:hAnsi="Arial"/>
          <w:sz w:val="15"/>
          <w:szCs w:val="15"/>
          <w:color w:val="auto"/>
        </w:rPr>
        <w:t>CITIZENSHIP OR PLACE OF ORGANIZATION</w:t>
      </w:r>
    </w:p>
    <w:p>
      <w:pPr>
        <w:spacing w:after="0" w:line="24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J</w:t>
      </w:r>
      <w:r>
        <w:rPr>
          <w:rFonts w:ascii="Arial" w:cs="Arial" w:eastAsia="Arial" w:hAnsi="Arial"/>
          <w:sz w:val="18"/>
          <w:szCs w:val="18"/>
          <w:color w:val="auto"/>
        </w:rPr>
        <w:t>ERSEY</w:t>
      </w:r>
    </w:p>
    <w:p>
      <w:pPr>
        <w:spacing w:after="0" w:line="24"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9820" w:type="dxa"/>
            <w:vAlign w:val="bottom"/>
          </w:tcPr>
          <w:p>
            <w:pPr>
              <w:ind w:left="80"/>
              <w:spacing w:after="0"/>
              <w:rPr>
                <w:sz w:val="20"/>
                <w:szCs w:val="20"/>
                <w:color w:val="auto"/>
              </w:rPr>
            </w:pPr>
            <w:r>
              <w:rPr>
                <w:rFonts w:ascii="Arial" w:cs="Arial" w:eastAsia="Arial" w:hAnsi="Arial"/>
                <w:sz w:val="15"/>
                <w:szCs w:val="15"/>
                <w:color w:val="auto"/>
              </w:rPr>
              <w:t>SOLE VOTING POWER</w:t>
            </w:r>
          </w:p>
        </w:tc>
        <w:tc>
          <w:tcPr>
            <w:tcW w:w="0" w:type="dxa"/>
            <w:vAlign w:val="bottom"/>
          </w:tcPr>
          <w:p>
            <w:pPr>
              <w:spacing w:after="0"/>
              <w:rPr>
                <w:sz w:val="1"/>
                <w:szCs w:val="1"/>
                <w:color w:val="auto"/>
              </w:rPr>
            </w:pPr>
          </w:p>
        </w:tc>
      </w:tr>
      <w:tr>
        <w:trPr>
          <w:trHeight w:val="498"/>
        </w:trPr>
        <w:tc>
          <w:tcPr>
            <w:tcW w:w="1060" w:type="dxa"/>
            <w:vAlign w:val="bottom"/>
            <w:vMerge w:val="restart"/>
          </w:tcPr>
          <w:p>
            <w:pPr>
              <w:jc w:val="center"/>
              <w:spacing w:after="0"/>
              <w:rPr>
                <w:sz w:val="20"/>
                <w:szCs w:val="20"/>
                <w:color w:val="auto"/>
              </w:rPr>
            </w:pPr>
            <w:r>
              <w:rPr>
                <w:rFonts w:ascii="Arial" w:cs="Arial" w:eastAsia="Arial" w:hAnsi="Arial"/>
                <w:sz w:val="15"/>
                <w:szCs w:val="15"/>
                <w:color w:val="auto"/>
                <w:w w:val="97"/>
              </w:rPr>
              <w:t>NUMBER OF</w:t>
            </w: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 (S</w:t>
            </w:r>
            <w:r>
              <w:rPr>
                <w:rFonts w:ascii="Arial" w:cs="Arial" w:eastAsia="Arial" w:hAnsi="Arial"/>
                <w:sz w:val="18"/>
                <w:szCs w:val="18"/>
                <w:color w:val="auto"/>
              </w:rPr>
              <w:t>EE</w:t>
            </w:r>
            <w:r>
              <w:rPr>
                <w:rFonts w:ascii="Arial" w:cs="Arial" w:eastAsia="Arial" w:hAnsi="Arial"/>
                <w:sz w:val="22"/>
                <w:szCs w:val="22"/>
                <w:color w:val="auto"/>
              </w:rPr>
              <w:t xml:space="preserve"> I</w:t>
            </w:r>
            <w:r>
              <w:rPr>
                <w:rFonts w:ascii="Arial" w:cs="Arial" w:eastAsia="Arial" w:hAnsi="Arial"/>
                <w:sz w:val="18"/>
                <w:szCs w:val="18"/>
                <w:color w:val="auto"/>
              </w:rPr>
              <w:t>TEMS</w:t>
            </w:r>
            <w:r>
              <w:rPr>
                <w:rFonts w:ascii="Arial" w:cs="Arial" w:eastAsia="Arial" w:hAnsi="Arial"/>
                <w:sz w:val="22"/>
                <w:szCs w:val="22"/>
                <w:color w:val="auto"/>
              </w:rPr>
              <w:t xml:space="preserve"> 2 </w:t>
            </w:r>
            <w:r>
              <w:rPr>
                <w:rFonts w:ascii="Arial" w:cs="Arial" w:eastAsia="Arial" w:hAnsi="Arial"/>
                <w:sz w:val="18"/>
                <w:szCs w:val="18"/>
                <w:color w:val="auto"/>
              </w:rPr>
              <w:t>AND</w:t>
            </w:r>
            <w:r>
              <w:rPr>
                <w:rFonts w:ascii="Arial" w:cs="Arial" w:eastAsia="Arial" w:hAnsi="Arial"/>
                <w:sz w:val="22"/>
                <w:szCs w:val="22"/>
                <w:color w:val="auto"/>
              </w:rPr>
              <w:t xml:space="preserve"> 5)</w:t>
            </w:r>
          </w:p>
        </w:tc>
        <w:tc>
          <w:tcPr>
            <w:tcW w:w="0" w:type="dxa"/>
            <w:vAlign w:val="bottom"/>
          </w:tcPr>
          <w:p>
            <w:pPr>
              <w:spacing w:after="0"/>
              <w:rPr>
                <w:sz w:val="1"/>
                <w:szCs w:val="1"/>
                <w:color w:val="auto"/>
              </w:rPr>
            </w:pPr>
          </w:p>
        </w:tc>
      </w:tr>
      <w:tr>
        <w:trPr>
          <w:trHeight w:val="106"/>
        </w:trPr>
        <w:tc>
          <w:tcPr>
            <w:tcW w:w="10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vMerge w:val="restart"/>
          </w:tcPr>
          <w:p>
            <w:pPr>
              <w:jc w:val="right"/>
              <w:ind w:right="10"/>
              <w:spacing w:after="0"/>
              <w:rPr>
                <w:sz w:val="20"/>
                <w:szCs w:val="20"/>
                <w:color w:val="auto"/>
              </w:rPr>
            </w:pPr>
            <w:r>
              <w:rPr>
                <w:rFonts w:ascii="Arial" w:cs="Arial" w:eastAsia="Arial" w:hAnsi="Arial"/>
                <w:sz w:val="18"/>
                <w:szCs w:val="18"/>
                <w:color w:val="auto"/>
              </w:rPr>
              <w:t>8</w:t>
            </w:r>
          </w:p>
        </w:tc>
        <w:tc>
          <w:tcPr>
            <w:tcW w:w="9820" w:type="dxa"/>
            <w:vAlign w:val="bottom"/>
            <w:vMerge w:val="restart"/>
          </w:tcPr>
          <w:p>
            <w:pPr>
              <w:ind w:left="80"/>
              <w:spacing w:after="0"/>
              <w:rPr>
                <w:sz w:val="20"/>
                <w:szCs w:val="20"/>
                <w:color w:val="auto"/>
              </w:rPr>
            </w:pPr>
            <w:r>
              <w:rPr>
                <w:rFonts w:ascii="Arial" w:cs="Arial" w:eastAsia="Arial" w:hAnsi="Arial"/>
                <w:sz w:val="15"/>
                <w:szCs w:val="15"/>
                <w:color w:val="auto"/>
              </w:rPr>
              <w:t>SHARED VOTING POWER</w:t>
            </w:r>
          </w:p>
        </w:tc>
        <w:tc>
          <w:tcPr>
            <w:tcW w:w="0" w:type="dxa"/>
            <w:vAlign w:val="bottom"/>
          </w:tcPr>
          <w:p>
            <w:pPr>
              <w:spacing w:after="0"/>
              <w:rPr>
                <w:sz w:val="1"/>
                <w:szCs w:val="1"/>
                <w:color w:val="auto"/>
              </w:rPr>
            </w:pPr>
          </w:p>
        </w:tc>
      </w:tr>
      <w:tr>
        <w:trPr>
          <w:trHeight w:val="119"/>
        </w:trPr>
        <w:tc>
          <w:tcPr>
            <w:tcW w:w="1120" w:type="dxa"/>
            <w:vAlign w:val="bottom"/>
            <w:gridSpan w:val="2"/>
            <w:vMerge w:val="restart"/>
          </w:tcPr>
          <w:p>
            <w:pPr>
              <w:jc w:val="center"/>
              <w:ind w:right="60"/>
              <w:spacing w:after="0" w:line="162" w:lineRule="exact"/>
              <w:rPr>
                <w:sz w:val="20"/>
                <w:szCs w:val="20"/>
                <w:color w:val="auto"/>
              </w:rPr>
            </w:pPr>
            <w:r>
              <w:rPr>
                <w:rFonts w:ascii="Arial" w:cs="Arial" w:eastAsia="Arial" w:hAnsi="Arial"/>
                <w:sz w:val="15"/>
                <w:szCs w:val="15"/>
                <w:color w:val="auto"/>
                <w:w w:val="93"/>
              </w:rPr>
              <w:t>SHARES</w:t>
            </w:r>
          </w:p>
        </w:tc>
        <w:tc>
          <w:tcPr>
            <w:tcW w:w="340" w:type="dxa"/>
            <w:vAlign w:val="bottom"/>
            <w:vMerge w:val="continue"/>
          </w:tcPr>
          <w:p>
            <w:pPr>
              <w:spacing w:after="0"/>
              <w:rPr>
                <w:sz w:val="10"/>
                <w:szCs w:val="10"/>
                <w:color w:val="auto"/>
              </w:rPr>
            </w:pPr>
          </w:p>
        </w:tc>
        <w:tc>
          <w:tcPr>
            <w:tcW w:w="9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3"/>
        </w:trPr>
        <w:tc>
          <w:tcPr>
            <w:tcW w:w="112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9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1120" w:type="dxa"/>
            <w:vAlign w:val="bottom"/>
            <w:gridSpan w:val="2"/>
          </w:tcPr>
          <w:p>
            <w:pPr>
              <w:jc w:val="center"/>
              <w:ind w:right="60"/>
              <w:spacing w:after="0"/>
              <w:rPr>
                <w:sz w:val="20"/>
                <w:szCs w:val="20"/>
                <w:color w:val="auto"/>
              </w:rPr>
            </w:pPr>
            <w:r>
              <w:rPr>
                <w:rFonts w:ascii="Arial" w:cs="Arial" w:eastAsia="Arial" w:hAnsi="Arial"/>
                <w:sz w:val="15"/>
                <w:szCs w:val="15"/>
                <w:color w:val="auto"/>
              </w:rPr>
              <w:t>BENEFICIALLY</w:t>
            </w:r>
          </w:p>
        </w:tc>
        <w:tc>
          <w:tcPr>
            <w:tcW w:w="340" w:type="dxa"/>
            <w:vAlign w:val="bottom"/>
          </w:tcPr>
          <w:p>
            <w:pPr>
              <w:spacing w:after="0"/>
              <w:rPr>
                <w:sz w:val="16"/>
                <w:szCs w:val="16"/>
                <w:color w:val="auto"/>
              </w:rPr>
            </w:pPr>
          </w:p>
        </w:tc>
        <w:tc>
          <w:tcPr>
            <w:tcW w:w="9820" w:type="dxa"/>
            <w:vAlign w:val="bottom"/>
            <w:vMerge w:val="restart"/>
          </w:tcPr>
          <w:p>
            <w:pPr>
              <w:ind w:left="80"/>
              <w:spacing w:after="0"/>
              <w:rPr>
                <w:sz w:val="20"/>
                <w:szCs w:val="20"/>
                <w:color w:val="auto"/>
              </w:rPr>
            </w:pPr>
            <w:r>
              <w:rPr>
                <w:rFonts w:ascii="Arial" w:cs="Arial" w:eastAsia="Arial" w:hAnsi="Arial"/>
                <w:sz w:val="22"/>
                <w:szCs w:val="22"/>
                <w:color w:val="auto"/>
              </w:rPr>
              <w:t>6,011,106 (S</w:t>
            </w:r>
            <w:r>
              <w:rPr>
                <w:rFonts w:ascii="Arial" w:cs="Arial" w:eastAsia="Arial" w:hAnsi="Arial"/>
                <w:sz w:val="18"/>
                <w:szCs w:val="18"/>
                <w:color w:val="auto"/>
              </w:rPr>
              <w:t>EE</w:t>
            </w:r>
            <w:r>
              <w:rPr>
                <w:rFonts w:ascii="Arial" w:cs="Arial" w:eastAsia="Arial" w:hAnsi="Arial"/>
                <w:sz w:val="22"/>
                <w:szCs w:val="22"/>
                <w:color w:val="auto"/>
              </w:rPr>
              <w:t xml:space="preserve"> I</w:t>
            </w:r>
            <w:r>
              <w:rPr>
                <w:rFonts w:ascii="Arial" w:cs="Arial" w:eastAsia="Arial" w:hAnsi="Arial"/>
                <w:sz w:val="18"/>
                <w:szCs w:val="18"/>
                <w:color w:val="auto"/>
              </w:rPr>
              <w:t>TEMS</w:t>
            </w:r>
            <w:r>
              <w:rPr>
                <w:rFonts w:ascii="Arial" w:cs="Arial" w:eastAsia="Arial" w:hAnsi="Arial"/>
                <w:sz w:val="22"/>
                <w:szCs w:val="22"/>
                <w:color w:val="auto"/>
              </w:rPr>
              <w:t xml:space="preserve"> 2 </w:t>
            </w:r>
            <w:r>
              <w:rPr>
                <w:rFonts w:ascii="Arial" w:cs="Arial" w:eastAsia="Arial" w:hAnsi="Arial"/>
                <w:sz w:val="18"/>
                <w:szCs w:val="18"/>
                <w:color w:val="auto"/>
              </w:rPr>
              <w:t>AND</w:t>
            </w:r>
            <w:r>
              <w:rPr>
                <w:rFonts w:ascii="Arial" w:cs="Arial" w:eastAsia="Arial" w:hAnsi="Arial"/>
                <w:sz w:val="22"/>
                <w:szCs w:val="22"/>
                <w:color w:val="auto"/>
              </w:rPr>
              <w:t xml:space="preserve"> 5)</w:t>
            </w:r>
          </w:p>
        </w:tc>
        <w:tc>
          <w:tcPr>
            <w:tcW w:w="0" w:type="dxa"/>
            <w:vAlign w:val="bottom"/>
          </w:tcPr>
          <w:p>
            <w:pPr>
              <w:spacing w:after="0"/>
              <w:rPr>
                <w:sz w:val="1"/>
                <w:szCs w:val="1"/>
                <w:color w:val="auto"/>
              </w:rPr>
            </w:pPr>
          </w:p>
        </w:tc>
      </w:tr>
      <w:tr>
        <w:trPr>
          <w:trHeight w:val="189"/>
        </w:trPr>
        <w:tc>
          <w:tcPr>
            <w:tcW w:w="1120" w:type="dxa"/>
            <w:vAlign w:val="bottom"/>
            <w:gridSpan w:val="2"/>
          </w:tcPr>
          <w:p>
            <w:pPr>
              <w:jc w:val="center"/>
              <w:ind w:right="60"/>
              <w:spacing w:after="0"/>
              <w:rPr>
                <w:sz w:val="20"/>
                <w:szCs w:val="20"/>
                <w:color w:val="auto"/>
              </w:rPr>
            </w:pPr>
            <w:r>
              <w:rPr>
                <w:rFonts w:ascii="Arial" w:cs="Arial" w:eastAsia="Arial" w:hAnsi="Arial"/>
                <w:sz w:val="15"/>
                <w:szCs w:val="15"/>
                <w:color w:val="auto"/>
              </w:rPr>
              <w:t>OWNED BY</w:t>
            </w:r>
          </w:p>
        </w:tc>
        <w:tc>
          <w:tcPr>
            <w:tcW w:w="340" w:type="dxa"/>
            <w:vAlign w:val="bottom"/>
          </w:tcPr>
          <w:p>
            <w:pPr>
              <w:spacing w:after="0"/>
              <w:rPr>
                <w:sz w:val="16"/>
                <w:szCs w:val="16"/>
                <w:color w:val="auto"/>
              </w:rPr>
            </w:pPr>
          </w:p>
        </w:tc>
        <w:tc>
          <w:tcPr>
            <w:tcW w:w="9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1060" w:type="dxa"/>
            <w:vAlign w:val="bottom"/>
            <w:vMerge w:val="restart"/>
          </w:tcPr>
          <w:p>
            <w:pPr>
              <w:jc w:val="center"/>
              <w:spacing w:after="0" w:line="162" w:lineRule="exact"/>
              <w:rPr>
                <w:sz w:val="20"/>
                <w:szCs w:val="20"/>
                <w:color w:val="auto"/>
              </w:rPr>
            </w:pPr>
            <w:r>
              <w:rPr>
                <w:rFonts w:ascii="Arial" w:cs="Arial" w:eastAsia="Arial" w:hAnsi="Arial"/>
                <w:sz w:val="15"/>
                <w:szCs w:val="15"/>
                <w:color w:val="auto"/>
                <w:w w:val="95"/>
              </w:rPr>
              <w:t>EACH</w:t>
            </w:r>
          </w:p>
        </w:tc>
        <w:tc>
          <w:tcPr>
            <w:tcW w:w="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10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vMerge w:val="restart"/>
          </w:tcPr>
          <w:p>
            <w:pPr>
              <w:jc w:val="right"/>
              <w:ind w:right="10"/>
              <w:spacing w:after="0"/>
              <w:rPr>
                <w:sz w:val="20"/>
                <w:szCs w:val="20"/>
                <w:color w:val="auto"/>
              </w:rPr>
            </w:pPr>
            <w:r>
              <w:rPr>
                <w:rFonts w:ascii="Arial" w:cs="Arial" w:eastAsia="Arial" w:hAnsi="Arial"/>
                <w:sz w:val="18"/>
                <w:szCs w:val="18"/>
                <w:color w:val="auto"/>
              </w:rPr>
              <w:t>9</w:t>
            </w:r>
          </w:p>
        </w:tc>
        <w:tc>
          <w:tcPr>
            <w:tcW w:w="9820" w:type="dxa"/>
            <w:vAlign w:val="bottom"/>
            <w:vMerge w:val="restart"/>
          </w:tcPr>
          <w:p>
            <w:pPr>
              <w:ind w:left="80"/>
              <w:spacing w:after="0"/>
              <w:rPr>
                <w:sz w:val="20"/>
                <w:szCs w:val="20"/>
                <w:color w:val="auto"/>
              </w:rPr>
            </w:pPr>
            <w:r>
              <w:rPr>
                <w:rFonts w:ascii="Arial" w:cs="Arial" w:eastAsia="Arial" w:hAnsi="Arial"/>
                <w:sz w:val="15"/>
                <w:szCs w:val="15"/>
                <w:color w:val="auto"/>
              </w:rPr>
              <w:t>SOLE DISPOSITIVE POWER</w:t>
            </w:r>
          </w:p>
        </w:tc>
        <w:tc>
          <w:tcPr>
            <w:tcW w:w="0" w:type="dxa"/>
            <w:vAlign w:val="bottom"/>
          </w:tcPr>
          <w:p>
            <w:pPr>
              <w:spacing w:after="0"/>
              <w:rPr>
                <w:sz w:val="1"/>
                <w:szCs w:val="1"/>
                <w:color w:val="auto"/>
              </w:rPr>
            </w:pPr>
          </w:p>
        </w:tc>
      </w:tr>
      <w:tr>
        <w:trPr>
          <w:trHeight w:val="162"/>
        </w:trPr>
        <w:tc>
          <w:tcPr>
            <w:tcW w:w="1120" w:type="dxa"/>
            <w:vAlign w:val="bottom"/>
            <w:gridSpan w:val="2"/>
          </w:tcPr>
          <w:p>
            <w:pPr>
              <w:jc w:val="center"/>
              <w:ind w:right="40"/>
              <w:spacing w:after="0" w:line="162" w:lineRule="exact"/>
              <w:rPr>
                <w:sz w:val="20"/>
                <w:szCs w:val="20"/>
                <w:color w:val="auto"/>
              </w:rPr>
            </w:pPr>
            <w:r>
              <w:rPr>
                <w:rFonts w:ascii="Arial" w:cs="Arial" w:eastAsia="Arial" w:hAnsi="Arial"/>
                <w:sz w:val="15"/>
                <w:szCs w:val="15"/>
                <w:color w:val="auto"/>
                <w:w w:val="94"/>
              </w:rPr>
              <w:t>REPORTING</w:t>
            </w:r>
          </w:p>
        </w:tc>
        <w:tc>
          <w:tcPr>
            <w:tcW w:w="340" w:type="dxa"/>
            <w:vAlign w:val="bottom"/>
            <w:vMerge w:val="continue"/>
          </w:tcPr>
          <w:p>
            <w:pPr>
              <w:spacing w:after="0"/>
              <w:rPr>
                <w:sz w:val="14"/>
                <w:szCs w:val="14"/>
                <w:color w:val="auto"/>
              </w:rPr>
            </w:pPr>
          </w:p>
        </w:tc>
        <w:tc>
          <w:tcPr>
            <w:tcW w:w="9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20" w:type="dxa"/>
            <w:vAlign w:val="bottom"/>
            <w:gridSpan w:val="2"/>
          </w:tcPr>
          <w:p>
            <w:pPr>
              <w:jc w:val="center"/>
              <w:ind w:right="60"/>
              <w:spacing w:after="0" w:line="162" w:lineRule="exact"/>
              <w:rPr>
                <w:sz w:val="20"/>
                <w:szCs w:val="20"/>
                <w:color w:val="auto"/>
              </w:rPr>
            </w:pPr>
            <w:r>
              <w:rPr>
                <w:rFonts w:ascii="Arial" w:cs="Arial" w:eastAsia="Arial" w:hAnsi="Arial"/>
                <w:sz w:val="15"/>
                <w:szCs w:val="15"/>
                <w:color w:val="auto"/>
                <w:w w:val="91"/>
              </w:rPr>
              <w:t>PERSON</w:t>
            </w:r>
          </w:p>
        </w:tc>
        <w:tc>
          <w:tcPr>
            <w:tcW w:w="340" w:type="dxa"/>
            <w:vAlign w:val="bottom"/>
          </w:tcPr>
          <w:p>
            <w:pPr>
              <w:spacing w:after="0"/>
              <w:rPr>
                <w:sz w:val="14"/>
                <w:szCs w:val="14"/>
                <w:color w:val="auto"/>
              </w:rPr>
            </w:pPr>
          </w:p>
        </w:tc>
        <w:tc>
          <w:tcPr>
            <w:tcW w:w="9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120" w:type="dxa"/>
            <w:vAlign w:val="bottom"/>
            <w:gridSpan w:val="2"/>
          </w:tcPr>
          <w:p>
            <w:pPr>
              <w:jc w:val="center"/>
              <w:ind w:right="40"/>
              <w:spacing w:after="0"/>
              <w:rPr>
                <w:sz w:val="20"/>
                <w:szCs w:val="20"/>
                <w:color w:val="auto"/>
              </w:rPr>
            </w:pPr>
            <w:r>
              <w:rPr>
                <w:rFonts w:ascii="Arial" w:cs="Arial" w:eastAsia="Arial" w:hAnsi="Arial"/>
                <w:sz w:val="15"/>
                <w:szCs w:val="15"/>
                <w:color w:val="auto"/>
              </w:rPr>
              <w:t>WITH</w:t>
            </w:r>
          </w:p>
        </w:tc>
        <w:tc>
          <w:tcPr>
            <w:tcW w:w="340" w:type="dxa"/>
            <w:vAlign w:val="bottom"/>
          </w:tcPr>
          <w:p>
            <w:pPr>
              <w:spacing w:after="0"/>
              <w:rPr>
                <w:sz w:val="16"/>
                <w:szCs w:val="16"/>
                <w:color w:val="auto"/>
              </w:rPr>
            </w:pPr>
          </w:p>
        </w:tc>
        <w:tc>
          <w:tcPr>
            <w:tcW w:w="9820" w:type="dxa"/>
            <w:vAlign w:val="bottom"/>
            <w:vMerge w:val="restart"/>
          </w:tcPr>
          <w:p>
            <w:pPr>
              <w:ind w:left="80"/>
              <w:spacing w:after="0"/>
              <w:rPr>
                <w:sz w:val="20"/>
                <w:szCs w:val="20"/>
                <w:color w:val="auto"/>
              </w:rPr>
            </w:pPr>
            <w:r>
              <w:rPr>
                <w:rFonts w:ascii="Arial" w:cs="Arial" w:eastAsia="Arial" w:hAnsi="Arial"/>
                <w:sz w:val="22"/>
                <w:szCs w:val="22"/>
                <w:color w:val="auto"/>
              </w:rPr>
              <w:t>0 (S</w:t>
            </w:r>
            <w:r>
              <w:rPr>
                <w:rFonts w:ascii="Arial" w:cs="Arial" w:eastAsia="Arial" w:hAnsi="Arial"/>
                <w:sz w:val="18"/>
                <w:szCs w:val="18"/>
                <w:color w:val="auto"/>
              </w:rPr>
              <w:t>EE</w:t>
            </w:r>
            <w:r>
              <w:rPr>
                <w:rFonts w:ascii="Arial" w:cs="Arial" w:eastAsia="Arial" w:hAnsi="Arial"/>
                <w:sz w:val="22"/>
                <w:szCs w:val="22"/>
                <w:color w:val="auto"/>
              </w:rPr>
              <w:t xml:space="preserve"> I</w:t>
            </w:r>
            <w:r>
              <w:rPr>
                <w:rFonts w:ascii="Arial" w:cs="Arial" w:eastAsia="Arial" w:hAnsi="Arial"/>
                <w:sz w:val="18"/>
                <w:szCs w:val="18"/>
                <w:color w:val="auto"/>
              </w:rPr>
              <w:t>TEMS</w:t>
            </w:r>
            <w:r>
              <w:rPr>
                <w:rFonts w:ascii="Arial" w:cs="Arial" w:eastAsia="Arial" w:hAnsi="Arial"/>
                <w:sz w:val="22"/>
                <w:szCs w:val="22"/>
                <w:color w:val="auto"/>
              </w:rPr>
              <w:t xml:space="preserve"> 2 </w:t>
            </w:r>
            <w:r>
              <w:rPr>
                <w:rFonts w:ascii="Arial" w:cs="Arial" w:eastAsia="Arial" w:hAnsi="Arial"/>
                <w:sz w:val="18"/>
                <w:szCs w:val="18"/>
                <w:color w:val="auto"/>
              </w:rPr>
              <w:t>AND</w:t>
            </w:r>
            <w:r>
              <w:rPr>
                <w:rFonts w:ascii="Arial" w:cs="Arial" w:eastAsia="Arial" w:hAnsi="Arial"/>
                <w:sz w:val="22"/>
                <w:szCs w:val="22"/>
                <w:color w:val="auto"/>
              </w:rPr>
              <w:t xml:space="preserve"> 5)</w:t>
            </w:r>
          </w:p>
        </w:tc>
        <w:tc>
          <w:tcPr>
            <w:tcW w:w="0" w:type="dxa"/>
            <w:vAlign w:val="bottom"/>
          </w:tcPr>
          <w:p>
            <w:pPr>
              <w:spacing w:after="0"/>
              <w:rPr>
                <w:sz w:val="1"/>
                <w:szCs w:val="1"/>
                <w:color w:val="auto"/>
              </w:rPr>
            </w:pPr>
          </w:p>
        </w:tc>
      </w:tr>
      <w:tr>
        <w:trPr>
          <w:trHeight w:val="116"/>
        </w:trPr>
        <w:tc>
          <w:tcPr>
            <w:tcW w:w="106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98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6"/>
        </w:trPr>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9820" w:type="dxa"/>
            <w:vAlign w:val="bottom"/>
          </w:tcPr>
          <w:p>
            <w:pPr>
              <w:ind w:left="80"/>
              <w:spacing w:after="0"/>
              <w:rPr>
                <w:sz w:val="20"/>
                <w:szCs w:val="20"/>
                <w:color w:val="auto"/>
              </w:rPr>
            </w:pPr>
            <w:r>
              <w:rPr>
                <w:rFonts w:ascii="Arial" w:cs="Arial" w:eastAsia="Arial" w:hAnsi="Arial"/>
                <w:sz w:val="15"/>
                <w:szCs w:val="15"/>
                <w:color w:val="auto"/>
              </w:rPr>
              <w:t>SHARED DISPOSITIVE POWER</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700"/>
        <w:spacing w:after="0"/>
        <w:rPr>
          <w:sz w:val="20"/>
          <w:szCs w:val="20"/>
          <w:color w:val="auto"/>
        </w:rPr>
      </w:pPr>
      <w:r>
        <w:rPr>
          <w:rFonts w:ascii="Arial" w:cs="Arial" w:eastAsia="Arial" w:hAnsi="Arial"/>
          <w:sz w:val="22"/>
          <w:szCs w:val="22"/>
          <w:color w:val="auto"/>
        </w:rPr>
        <w:t>6,011,106 (S</w:t>
      </w:r>
      <w:r>
        <w:rPr>
          <w:rFonts w:ascii="Arial" w:cs="Arial" w:eastAsia="Arial" w:hAnsi="Arial"/>
          <w:sz w:val="18"/>
          <w:szCs w:val="18"/>
          <w:color w:val="auto"/>
        </w:rPr>
        <w:t>EE</w:t>
      </w:r>
      <w:r>
        <w:rPr>
          <w:rFonts w:ascii="Arial" w:cs="Arial" w:eastAsia="Arial" w:hAnsi="Arial"/>
          <w:sz w:val="22"/>
          <w:szCs w:val="22"/>
          <w:color w:val="auto"/>
        </w:rPr>
        <w:t xml:space="preserve"> I</w:t>
      </w:r>
      <w:r>
        <w:rPr>
          <w:rFonts w:ascii="Arial" w:cs="Arial" w:eastAsia="Arial" w:hAnsi="Arial"/>
          <w:sz w:val="18"/>
          <w:szCs w:val="18"/>
          <w:color w:val="auto"/>
        </w:rPr>
        <w:t>TEMS</w:t>
      </w:r>
      <w:r>
        <w:rPr>
          <w:rFonts w:ascii="Arial" w:cs="Arial" w:eastAsia="Arial" w:hAnsi="Arial"/>
          <w:sz w:val="22"/>
          <w:szCs w:val="22"/>
          <w:color w:val="auto"/>
        </w:rPr>
        <w:t xml:space="preserve"> 2 </w:t>
      </w:r>
      <w:r>
        <w:rPr>
          <w:rFonts w:ascii="Arial" w:cs="Arial" w:eastAsia="Arial" w:hAnsi="Arial"/>
          <w:sz w:val="18"/>
          <w:szCs w:val="18"/>
          <w:color w:val="auto"/>
        </w:rPr>
        <w:t>AND</w:t>
      </w:r>
      <w:r>
        <w:rPr>
          <w:rFonts w:ascii="Arial" w:cs="Arial" w:eastAsia="Arial" w:hAnsi="Arial"/>
          <w:sz w:val="22"/>
          <w:szCs w:val="22"/>
          <w:color w:val="auto"/>
        </w:rPr>
        <w:t xml:space="preserve"> 5)</w:t>
      </w:r>
    </w:p>
    <w:p>
      <w:pPr>
        <w:spacing w:after="0" w:line="38" w:lineRule="exact"/>
        <w:rPr>
          <w:sz w:val="20"/>
          <w:szCs w:val="20"/>
          <w:color w:val="auto"/>
        </w:rPr>
      </w:pPr>
    </w:p>
    <w:p>
      <w:pPr>
        <w:ind w:left="540" w:hanging="375"/>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5"/>
          <w:szCs w:val="15"/>
          <w:color w:val="auto"/>
        </w:rPr>
        <w:t>AGGREGATE AMOUNT BENEFICIALLY OWNED BY EACH REPORTING PERSON</w:t>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22"/>
          <w:szCs w:val="22"/>
          <w:color w:val="auto"/>
        </w:rPr>
        <w:t>6,011,106 (S</w:t>
      </w:r>
      <w:r>
        <w:rPr>
          <w:rFonts w:ascii="Arial" w:cs="Arial" w:eastAsia="Arial" w:hAnsi="Arial"/>
          <w:sz w:val="18"/>
          <w:szCs w:val="18"/>
          <w:color w:val="auto"/>
        </w:rPr>
        <w:t>EE</w:t>
      </w:r>
      <w:r>
        <w:rPr>
          <w:rFonts w:ascii="Arial" w:cs="Arial" w:eastAsia="Arial" w:hAnsi="Arial"/>
          <w:sz w:val="22"/>
          <w:szCs w:val="22"/>
          <w:color w:val="auto"/>
        </w:rPr>
        <w:t xml:space="preserve"> I</w:t>
      </w:r>
      <w:r>
        <w:rPr>
          <w:rFonts w:ascii="Arial" w:cs="Arial" w:eastAsia="Arial" w:hAnsi="Arial"/>
          <w:sz w:val="18"/>
          <w:szCs w:val="18"/>
          <w:color w:val="auto"/>
        </w:rPr>
        <w:t>TEMS</w:t>
      </w:r>
      <w:r>
        <w:rPr>
          <w:rFonts w:ascii="Arial" w:cs="Arial" w:eastAsia="Arial" w:hAnsi="Arial"/>
          <w:sz w:val="22"/>
          <w:szCs w:val="22"/>
          <w:color w:val="auto"/>
        </w:rPr>
        <w:t xml:space="preserve"> 2 </w:t>
      </w:r>
      <w:r>
        <w:rPr>
          <w:rFonts w:ascii="Arial" w:cs="Arial" w:eastAsia="Arial" w:hAnsi="Arial"/>
          <w:sz w:val="18"/>
          <w:szCs w:val="18"/>
          <w:color w:val="auto"/>
        </w:rPr>
        <w:t>AND</w:t>
      </w:r>
      <w:r>
        <w:rPr>
          <w:rFonts w:ascii="Arial" w:cs="Arial" w:eastAsia="Arial" w:hAnsi="Arial"/>
          <w:sz w:val="22"/>
          <w:szCs w:val="22"/>
          <w:color w:val="auto"/>
        </w:rPr>
        <w:t xml:space="preserve"> 5)</w:t>
      </w:r>
    </w:p>
    <w:p>
      <w:pPr>
        <w:spacing w:after="0" w:line="24" w:lineRule="exact"/>
        <w:rPr>
          <w:sz w:val="20"/>
          <w:szCs w:val="20"/>
          <w:color w:val="auto"/>
        </w:rPr>
      </w:pPr>
    </w:p>
    <w:p>
      <w:pPr>
        <w:ind w:left="540" w:hanging="375"/>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5"/>
          <w:szCs w:val="15"/>
          <w:color w:val="auto"/>
        </w:rPr>
        <w:t xml:space="preserve">CHECK IF THE AGGREGATE AMOUNT IN ROW </w:t>
      </w:r>
      <w:r>
        <w:rPr>
          <w:rFonts w:ascii="Arial" w:cs="Arial" w:eastAsia="Arial" w:hAnsi="Arial"/>
          <w:sz w:val="18"/>
          <w:szCs w:val="18"/>
          <w:color w:val="auto"/>
        </w:rPr>
        <w:t>(11)</w:t>
      </w:r>
      <w:r>
        <w:rPr>
          <w:rFonts w:ascii="Arial" w:cs="Arial" w:eastAsia="Arial" w:hAnsi="Arial"/>
          <w:sz w:val="15"/>
          <w:szCs w:val="15"/>
          <w:color w:val="auto"/>
        </w:rPr>
        <w:t xml:space="preserve"> EXCLUDES CERTAIN SHARES</w:t>
      </w:r>
    </w:p>
    <w:p>
      <w:pPr>
        <w:spacing w:after="0" w:line="279" w:lineRule="exact"/>
        <w:rPr>
          <w:rFonts w:ascii="Arial" w:cs="Arial" w:eastAsia="Arial" w:hAnsi="Arial"/>
          <w:sz w:val="18"/>
          <w:szCs w:val="18"/>
          <w:color w:val="auto"/>
        </w:rPr>
      </w:pPr>
    </w:p>
    <w:p>
      <w:pPr>
        <w:ind w:left="540" w:hanging="375"/>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5"/>
          <w:szCs w:val="15"/>
          <w:color w:val="auto"/>
        </w:rPr>
        <w:t xml:space="preserve">PERCENT OF CLASS REPRESENTED BY AMOUNT IN ROW </w:t>
      </w:r>
      <w:r>
        <w:rPr>
          <w:rFonts w:ascii="Arial" w:cs="Arial" w:eastAsia="Arial" w:hAnsi="Arial"/>
          <w:sz w:val="18"/>
          <w:szCs w:val="18"/>
          <w:color w:val="auto"/>
        </w:rPr>
        <w:t>(11)</w:t>
      </w:r>
    </w:p>
    <w:p>
      <w:pPr>
        <w:spacing w:after="0" w:line="24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20.8% (S</w:t>
      </w:r>
      <w:r>
        <w:rPr>
          <w:rFonts w:ascii="Arial" w:cs="Arial" w:eastAsia="Arial" w:hAnsi="Arial"/>
          <w:sz w:val="18"/>
          <w:szCs w:val="18"/>
          <w:color w:val="auto"/>
        </w:rPr>
        <w:t>EE</w:t>
      </w:r>
      <w:r>
        <w:rPr>
          <w:rFonts w:ascii="Arial" w:cs="Arial" w:eastAsia="Arial" w:hAnsi="Arial"/>
          <w:sz w:val="22"/>
          <w:szCs w:val="22"/>
          <w:color w:val="auto"/>
        </w:rPr>
        <w:t xml:space="preserve"> I</w:t>
      </w:r>
      <w:r>
        <w:rPr>
          <w:rFonts w:ascii="Arial" w:cs="Arial" w:eastAsia="Arial" w:hAnsi="Arial"/>
          <w:sz w:val="18"/>
          <w:szCs w:val="18"/>
          <w:color w:val="auto"/>
        </w:rPr>
        <w:t>TEM</w:t>
      </w:r>
      <w:r>
        <w:rPr>
          <w:rFonts w:ascii="Arial" w:cs="Arial" w:eastAsia="Arial" w:hAnsi="Arial"/>
          <w:sz w:val="22"/>
          <w:szCs w:val="22"/>
          <w:color w:val="auto"/>
        </w:rPr>
        <w:t xml:space="preserve"> 5)</w:t>
      </w:r>
    </w:p>
    <w:p>
      <w:pPr>
        <w:spacing w:after="0" w:line="24" w:lineRule="exact"/>
        <w:rPr>
          <w:sz w:val="20"/>
          <w:szCs w:val="20"/>
          <w:color w:val="auto"/>
        </w:rPr>
      </w:pPr>
    </w:p>
    <w:p>
      <w:pPr>
        <w:ind w:left="540" w:hanging="375"/>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5"/>
          <w:szCs w:val="15"/>
          <w:color w:val="auto"/>
        </w:rPr>
        <w:t xml:space="preserve">TYPE OF REPORTING PERSON </w:t>
      </w:r>
      <w:r>
        <w:rPr>
          <w:rFonts w:ascii="Arial" w:cs="Arial" w:eastAsia="Arial" w:hAnsi="Arial"/>
          <w:sz w:val="18"/>
          <w:szCs w:val="18"/>
          <w:color w:val="auto"/>
        </w:rPr>
        <w:t>(See Instructions)</w:t>
      </w:r>
    </w:p>
    <w:p>
      <w:pPr>
        <w:spacing w:after="0" w:line="24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C</w:t>
      </w:r>
      <w:r>
        <w:rPr>
          <w:rFonts w:ascii="Arial" w:cs="Arial" w:eastAsia="Arial" w:hAnsi="Arial"/>
          <w:sz w:val="18"/>
          <w:szCs w:val="18"/>
          <w:color w:val="auto"/>
        </w:rPr>
        <w:t>O</w:t>
      </w:r>
    </w:p>
    <w:p>
      <w:pPr>
        <w:spacing w:after="0" w:line="1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3 of 13 Pages</w:t>
      </w:r>
    </w:p>
    <w:p>
      <w:pPr>
        <w:sectPr>
          <w:pgSz w:w="11900" w:h="16838" w:orient="portrait"/>
          <w:cols w:equalWidth="0" w:num="1">
            <w:col w:w="11440"/>
          </w:cols>
          <w:pgMar w:left="240" w:top="274" w:right="21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 Security and Issuer.</w:t>
      </w:r>
    </w:p>
    <w:p>
      <w:pPr>
        <w:spacing w:after="0" w:line="121" w:lineRule="exact"/>
        <w:rPr>
          <w:sz w:val="20"/>
          <w:szCs w:val="20"/>
          <w:color w:val="auto"/>
        </w:rPr>
      </w:pPr>
    </w:p>
    <w:p>
      <w:pPr>
        <w:jc w:val="both"/>
        <w:ind w:right="140" w:firstLine="913"/>
        <w:spacing w:after="0" w:line="264" w:lineRule="auto"/>
        <w:rPr>
          <w:sz w:val="20"/>
          <w:szCs w:val="20"/>
          <w:color w:val="auto"/>
        </w:rPr>
      </w:pPr>
      <w:r>
        <w:rPr>
          <w:rFonts w:ascii="Arial" w:cs="Arial" w:eastAsia="Arial" w:hAnsi="Arial"/>
          <w:sz w:val="18"/>
          <w:szCs w:val="18"/>
          <w:color w:val="auto"/>
        </w:rPr>
        <w:t>The title of the class of equity securities to which this statement relates is common stock, par value $0.001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of OptimizeRx Corporation, a Nevada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The address of the principal executive offices of the Company is 400 Water Street, Suite 200, Rochester, MI 48307.</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135" w:lineRule="exact"/>
        <w:rPr>
          <w:sz w:val="20"/>
          <w:szCs w:val="20"/>
          <w:color w:val="auto"/>
        </w:rPr>
      </w:pPr>
    </w:p>
    <w:p>
      <w:pPr>
        <w:ind w:left="1820" w:right="60" w:hanging="674"/>
        <w:spacing w:after="0" w:line="276" w:lineRule="auto"/>
        <w:tabs>
          <w:tab w:leader="none" w:pos="1800" w:val="left"/>
        </w:tabs>
        <w:rPr>
          <w:sz w:val="20"/>
          <w:szCs w:val="20"/>
          <w:color w:val="auto"/>
        </w:rPr>
      </w:pPr>
      <w:r>
        <w:rPr>
          <w:rFonts w:ascii="Arial" w:cs="Arial" w:eastAsia="Arial" w:hAnsi="Arial"/>
          <w:sz w:val="18"/>
          <w:szCs w:val="18"/>
          <w:color w:val="auto"/>
        </w:rPr>
        <w:t>(a)-(c)</w:t>
      </w:r>
      <w:r>
        <w:rPr>
          <w:sz w:val="20"/>
          <w:szCs w:val="20"/>
          <w:color w:val="auto"/>
        </w:rPr>
        <w:tab/>
      </w:r>
      <w:r>
        <w:rPr>
          <w:rFonts w:ascii="Arial" w:cs="Arial" w:eastAsia="Arial" w:hAnsi="Arial"/>
          <w:sz w:val="17"/>
          <w:szCs w:val="17"/>
          <w:color w:val="auto"/>
        </w:rPr>
        <w:t>This Schedule 13D is being filed by WPP Luxembourg Gamma Three S.à r.l., a private limited liability company (</w:t>
      </w:r>
      <w:r>
        <w:rPr>
          <w:rFonts w:ascii="Arial" w:cs="Arial" w:eastAsia="Arial" w:hAnsi="Arial"/>
          <w:sz w:val="17"/>
          <w:szCs w:val="17"/>
          <w:i w:val="1"/>
          <w:iCs w:val="1"/>
          <w:color w:val="auto"/>
        </w:rPr>
        <w:t>société à</w:t>
      </w:r>
      <w:r>
        <w:rPr>
          <w:rFonts w:ascii="Arial" w:cs="Arial" w:eastAsia="Arial" w:hAnsi="Arial"/>
          <w:sz w:val="17"/>
          <w:szCs w:val="17"/>
          <w:color w:val="auto"/>
        </w:rPr>
        <w:t xml:space="preserve"> </w:t>
      </w:r>
      <w:r>
        <w:rPr>
          <w:rFonts w:ascii="Arial" w:cs="Arial" w:eastAsia="Arial" w:hAnsi="Arial"/>
          <w:sz w:val="17"/>
          <w:szCs w:val="17"/>
          <w:i w:val="1"/>
          <w:iCs w:val="1"/>
          <w:color w:val="auto"/>
        </w:rPr>
        <w:t>responsabilité limitée</w:t>
      </w:r>
      <w:r>
        <w:rPr>
          <w:rFonts w:ascii="Arial" w:cs="Arial" w:eastAsia="Arial" w:hAnsi="Arial"/>
          <w:sz w:val="17"/>
          <w:szCs w:val="17"/>
          <w:color w:val="auto"/>
        </w:rPr>
        <w:t>) incorporated under the laws of the Grand Duchy of Luxembourg (“</w:t>
      </w:r>
      <w:r>
        <w:rPr>
          <w:rFonts w:ascii="Arial" w:cs="Arial" w:eastAsia="Arial" w:hAnsi="Arial"/>
          <w:sz w:val="17"/>
          <w:szCs w:val="17"/>
          <w:u w:val="single" w:color="auto"/>
          <w:color w:val="auto"/>
        </w:rPr>
        <w:t>Lux Gamma Three</w:t>
      </w:r>
      <w:r>
        <w:rPr>
          <w:rFonts w:ascii="Arial" w:cs="Arial" w:eastAsia="Arial" w:hAnsi="Arial"/>
          <w:sz w:val="17"/>
          <w:szCs w:val="17"/>
          <w:color w:val="auto"/>
        </w:rPr>
        <w:t>”), and WPP plc, a</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corporation formed under the laws of Jersey. WPP plc indirectly holds 100% of the outstanding stock of Lux Gamma Three through a series of intervening holding companies. Lux Gamma Three and WPP plc are sometimes referred to herein collectively as the “</w:t>
      </w:r>
      <w:r>
        <w:rPr>
          <w:rFonts w:ascii="Arial" w:cs="Arial" w:eastAsia="Arial" w:hAnsi="Arial"/>
          <w:sz w:val="17"/>
          <w:szCs w:val="17"/>
          <w:u w:val="single" w:color="auto"/>
          <w:color w:val="auto"/>
        </w:rPr>
        <w:t>Reporting Persons</w:t>
      </w:r>
      <w:r>
        <w:rPr>
          <w:rFonts w:ascii="Arial" w:cs="Arial" w:eastAsia="Arial" w:hAnsi="Arial"/>
          <w:sz w:val="17"/>
          <w:szCs w:val="17"/>
          <w:color w:val="auto"/>
        </w:rPr>
        <w:t>” and individually as a “</w:t>
      </w:r>
      <w:r>
        <w:rPr>
          <w:rFonts w:ascii="Arial" w:cs="Arial" w:eastAsia="Arial" w:hAnsi="Arial"/>
          <w:sz w:val="17"/>
          <w:szCs w:val="17"/>
          <w:u w:val="single" w:color="auto"/>
          <w:color w:val="auto"/>
        </w:rPr>
        <w:t>Reporting Person</w:t>
      </w:r>
      <w:r>
        <w:rPr>
          <w:rFonts w:ascii="Arial" w:cs="Arial" w:eastAsia="Arial" w:hAnsi="Arial"/>
          <w:sz w:val="17"/>
          <w:szCs w:val="17"/>
          <w:color w:val="auto"/>
        </w:rPr>
        <w:t>.”</w:t>
      </w:r>
    </w:p>
    <w:p>
      <w:pPr>
        <w:spacing w:after="0" w:line="78" w:lineRule="exact"/>
        <w:rPr>
          <w:sz w:val="20"/>
          <w:szCs w:val="20"/>
          <w:color w:val="auto"/>
        </w:rPr>
      </w:pPr>
    </w:p>
    <w:p>
      <w:pPr>
        <w:ind w:left="1820" w:right="100"/>
        <w:spacing w:after="0" w:line="276" w:lineRule="auto"/>
        <w:rPr>
          <w:sz w:val="20"/>
          <w:szCs w:val="20"/>
          <w:color w:val="auto"/>
        </w:rPr>
      </w:pPr>
      <w:r>
        <w:rPr>
          <w:rFonts w:ascii="Arial" w:cs="Arial" w:eastAsia="Arial" w:hAnsi="Arial"/>
          <w:sz w:val="17"/>
          <w:szCs w:val="17"/>
          <w:color w:val="auto"/>
        </w:rPr>
        <w:t>WPP plc and its subsidiaries (the “</w:t>
      </w:r>
      <w:r>
        <w:rPr>
          <w:rFonts w:ascii="Arial" w:cs="Arial" w:eastAsia="Arial" w:hAnsi="Arial"/>
          <w:sz w:val="17"/>
          <w:szCs w:val="17"/>
          <w:u w:val="single" w:color="auto"/>
          <w:color w:val="auto"/>
        </w:rPr>
        <w:t>WPP Group</w:t>
      </w:r>
      <w:r>
        <w:rPr>
          <w:rFonts w:ascii="Arial" w:cs="Arial" w:eastAsia="Arial" w:hAnsi="Arial"/>
          <w:sz w:val="17"/>
          <w:szCs w:val="17"/>
          <w:color w:val="auto"/>
        </w:rPr>
        <w:t>”) comprise one of the largest communications services businesses in the world. The WPP Group provides communications services on a national, multinational and global basis. It operates from over 3,000 offices in 111 countries including associates. The WPP Group organizes its businesses in the following areas: Advertising and Media Investment Management; Data Investment Management; Public Relations &amp; Public Affairs; Branding &amp; Identity; and Healthcare and Specialist Communications (including direct, digital, promotion and relationship marketing).</w:t>
      </w:r>
    </w:p>
    <w:p>
      <w:pPr>
        <w:spacing w:after="0" w:line="78" w:lineRule="exact"/>
        <w:rPr>
          <w:sz w:val="20"/>
          <w:szCs w:val="20"/>
          <w:color w:val="auto"/>
        </w:rPr>
      </w:pPr>
    </w:p>
    <w:p>
      <w:pPr>
        <w:ind w:left="1820" w:right="200"/>
        <w:spacing w:after="0" w:line="277" w:lineRule="auto"/>
        <w:rPr>
          <w:sz w:val="20"/>
          <w:szCs w:val="20"/>
          <w:color w:val="auto"/>
        </w:rPr>
      </w:pPr>
      <w:r>
        <w:rPr>
          <w:rFonts w:ascii="Arial" w:cs="Arial" w:eastAsia="Arial" w:hAnsi="Arial"/>
          <w:sz w:val="18"/>
          <w:szCs w:val="18"/>
          <w:color w:val="auto"/>
        </w:rPr>
        <w:t>The address of the principal office of Lux Gamma Three is 124 boulevard de la Pétrusse, Luxembourg L-2330. The address of the principal office of WPP plc is 27 Farm Street, London, United Kingdom W1J 5RJ.</w:t>
      </w:r>
    </w:p>
    <w:p>
      <w:pPr>
        <w:spacing w:after="0" w:line="76" w:lineRule="exact"/>
        <w:rPr>
          <w:sz w:val="20"/>
          <w:szCs w:val="20"/>
          <w:color w:val="auto"/>
        </w:rPr>
      </w:pPr>
    </w:p>
    <w:p>
      <w:pPr>
        <w:ind w:left="1820" w:right="60" w:hanging="678"/>
        <w:spacing w:after="0" w:line="342" w:lineRule="auto"/>
        <w:tabs>
          <w:tab w:leader="none" w:pos="18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During the past five years, none of the Reporting Persons nor, to the knowledge of the Reporting Persons, any of their respective executive officers or directors, has been convicted in a criminal proceeding (excluding traffic violations and similar misdemeanors).</w:t>
      </w:r>
    </w:p>
    <w:p>
      <w:pPr>
        <w:spacing w:after="0" w:line="29" w:lineRule="exact"/>
        <w:rPr>
          <w:rFonts w:ascii="Arial" w:cs="Arial" w:eastAsia="Arial" w:hAnsi="Arial"/>
          <w:sz w:val="16"/>
          <w:szCs w:val="16"/>
          <w:color w:val="auto"/>
        </w:rPr>
      </w:pPr>
    </w:p>
    <w:p>
      <w:pPr>
        <w:ind w:left="1820" w:hanging="678"/>
        <w:spacing w:after="0" w:line="302" w:lineRule="auto"/>
        <w:tabs>
          <w:tab w:leader="none" w:pos="18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During the past five years, none of the Reporting Persons nor, to the knowledge of the Reporting Persons, any of their respective executive officers or directors, has been a party to a civil proceeding of a judicial or administrative body of competent jurisdiction as a result of which such person was or is subject to a judgment, decree or final order enjoining future violations of, or prohibiting or mandating activities subject to, federal or state securities laws, or finding any violation with respect to such laws.</w:t>
      </w:r>
    </w:p>
    <w:p>
      <w:pPr>
        <w:spacing w:after="0" w:line="59" w:lineRule="exact"/>
        <w:rPr>
          <w:rFonts w:ascii="Arial" w:cs="Arial" w:eastAsia="Arial" w:hAnsi="Arial"/>
          <w:sz w:val="16"/>
          <w:szCs w:val="16"/>
          <w:color w:val="auto"/>
        </w:rPr>
      </w:pPr>
    </w:p>
    <w:p>
      <w:pPr>
        <w:ind w:left="1820" w:hanging="678"/>
        <w:spacing w:after="0" w:line="277" w:lineRule="auto"/>
        <w:tabs>
          <w:tab w:leader="none" w:pos="1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The name, citizenship, business address, principal business occupation or employment of each of the directors and executive officers of each of the Reporting Persons are set forth on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hereto.</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4 of 13 Pages</w:t>
      </w:r>
    </w:p>
    <w:p>
      <w:pPr>
        <w:sectPr>
          <w:pgSz w:w="11900" w:h="16838" w:orient="portrait"/>
          <w:cols w:equalWidth="0" w:num="1">
            <w:col w:w="11380"/>
          </w:cols>
          <w:pgMar w:left="240" w:top="270" w:right="2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 Source and Amount of Funds and Other Consideration.</w:t>
      </w:r>
    </w:p>
    <w:p>
      <w:pPr>
        <w:spacing w:after="0" w:line="121"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The source of the cash used by Lux Gamma Three to acquire 6,011,106 shares of Common Stock (the “</w:t>
      </w:r>
      <w:r>
        <w:rPr>
          <w:rFonts w:ascii="Arial" w:cs="Arial" w:eastAsia="Arial" w:hAnsi="Arial"/>
          <w:sz w:val="18"/>
          <w:szCs w:val="18"/>
          <w:u w:val="single" w:color="auto"/>
          <w:color w:val="auto"/>
        </w:rPr>
        <w:t>Shares</w:t>
      </w:r>
      <w:r>
        <w:rPr>
          <w:rFonts w:ascii="Arial" w:cs="Arial" w:eastAsia="Arial" w:hAnsi="Arial"/>
          <w:sz w:val="18"/>
          <w:szCs w:val="18"/>
          <w:color w:val="auto"/>
        </w:rPr>
        <w:t>”) was Lux Gamma Three’s working capital. Pursuant to a Stock Purchase Agreement dated as of September 24, 2015 by and between Lux Gamma Three (the “</w:t>
      </w:r>
      <w:r>
        <w:rPr>
          <w:rFonts w:ascii="Arial" w:cs="Arial" w:eastAsia="Arial" w:hAnsi="Arial"/>
          <w:sz w:val="18"/>
          <w:szCs w:val="18"/>
          <w:u w:val="single" w:color="auto"/>
          <w:color w:val="auto"/>
        </w:rPr>
        <w:t>Investor</w:t>
      </w:r>
      <w:r>
        <w:rPr>
          <w:rFonts w:ascii="Arial" w:cs="Arial" w:eastAsia="Arial" w:hAnsi="Arial"/>
          <w:sz w:val="18"/>
          <w:szCs w:val="18"/>
          <w:color w:val="auto"/>
        </w:rPr>
        <w:t>”) and the Company (the “</w:t>
      </w:r>
      <w:r>
        <w:rPr>
          <w:rFonts w:ascii="Arial" w:cs="Arial" w:eastAsia="Arial" w:hAnsi="Arial"/>
          <w:sz w:val="18"/>
          <w:szCs w:val="18"/>
          <w:u w:val="single" w:color="auto"/>
          <w:color w:val="auto"/>
        </w:rPr>
        <w:t>Stock Purchase Agreement</w:t>
      </w:r>
      <w:r>
        <w:rPr>
          <w:rFonts w:ascii="Arial" w:cs="Arial" w:eastAsia="Arial" w:hAnsi="Arial"/>
          <w:sz w:val="18"/>
          <w:szCs w:val="18"/>
          <w:color w:val="auto"/>
        </w:rPr>
        <w:t>”), the Investor purchased the Shares directly from the Company for cash, at a purchase price of $0.7875 per share, or gross proceeds of $4,733,746.</w:t>
      </w:r>
    </w:p>
    <w:p>
      <w:pPr>
        <w:spacing w:after="0" w:line="29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Item 4. Purpose of Transaction.</w:t>
      </w:r>
    </w:p>
    <w:p>
      <w:pPr>
        <w:spacing w:after="0" w:line="121" w:lineRule="exact"/>
        <w:rPr>
          <w:sz w:val="20"/>
          <w:szCs w:val="20"/>
          <w:color w:val="auto"/>
        </w:rPr>
      </w:pPr>
    </w:p>
    <w:p>
      <w:pPr>
        <w:ind w:right="40" w:firstLine="913"/>
        <w:spacing w:after="0" w:line="272" w:lineRule="auto"/>
        <w:rPr>
          <w:sz w:val="20"/>
          <w:szCs w:val="20"/>
          <w:color w:val="auto"/>
        </w:rPr>
      </w:pPr>
      <w:r>
        <w:rPr>
          <w:rFonts w:ascii="Arial" w:cs="Arial" w:eastAsia="Arial" w:hAnsi="Arial"/>
          <w:sz w:val="17"/>
          <w:szCs w:val="17"/>
          <w:color w:val="auto"/>
        </w:rPr>
        <w:t>The Reporting Persons acquired the securities described in Item 3 above for investment purposes. Consistent with such investment purposes, the Reporting Persons may engage in communications with, without limitation, management of the Company, one or more members of the board of directors of the Company (the “</w:t>
      </w:r>
      <w:r>
        <w:rPr>
          <w:rFonts w:ascii="Arial" w:cs="Arial" w:eastAsia="Arial" w:hAnsi="Arial"/>
          <w:sz w:val="17"/>
          <w:szCs w:val="17"/>
          <w:u w:val="single" w:color="auto"/>
          <w:color w:val="auto"/>
        </w:rPr>
        <w:t>Board</w:t>
      </w:r>
      <w:r>
        <w:rPr>
          <w:rFonts w:ascii="Arial" w:cs="Arial" w:eastAsia="Arial" w:hAnsi="Arial"/>
          <w:sz w:val="17"/>
          <w:szCs w:val="17"/>
          <w:color w:val="auto"/>
        </w:rPr>
        <w:t>”), other shareholders of the Company and other relevant parties, and may make suggestions concerning the business, assets, capitalization, financial condition, operations, governance, management, prospects, strategy, strategic transactions, financing strategies and alternatives, and future plans of the Company, and such other matters as the Reporting Persons may deem relevant to their investment in the Company, which communications may include proposing or considering one or more of the actions described in subsections (a) through (j) of Item 4 of Schedule 13D under the Securities Exchange Act of 1934, as amended.</w:t>
      </w:r>
    </w:p>
    <w:p>
      <w:pPr>
        <w:spacing w:after="0" w:line="178"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In connection with the Stock Purchase Agreement, on September 24, 2015 the Company entered into an Investor Rights Agreement with the Investor (the “</w:t>
      </w:r>
      <w:r>
        <w:rPr>
          <w:rFonts w:ascii="Arial" w:cs="Arial" w:eastAsia="Arial" w:hAnsi="Arial"/>
          <w:sz w:val="18"/>
          <w:szCs w:val="18"/>
          <w:u w:val="single" w:color="auto"/>
          <w:color w:val="auto"/>
        </w:rPr>
        <w:t>Investor Rights Agreement</w:t>
      </w:r>
      <w:r>
        <w:rPr>
          <w:rFonts w:ascii="Arial" w:cs="Arial" w:eastAsia="Arial" w:hAnsi="Arial"/>
          <w:sz w:val="18"/>
          <w:szCs w:val="18"/>
          <w:color w:val="auto"/>
        </w:rPr>
        <w:t>”), pursuant to which the Company agreed to the following:</w:t>
      </w:r>
    </w:p>
    <w:p>
      <w:pPr>
        <w:spacing w:after="0" w:line="76" w:lineRule="exact"/>
        <w:rPr>
          <w:sz w:val="20"/>
          <w:szCs w:val="20"/>
          <w:color w:val="auto"/>
        </w:rPr>
      </w:pPr>
    </w:p>
    <w:p>
      <w:pPr>
        <w:ind w:left="900" w:right="10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Demand Registration Rights</w:t>
      </w:r>
      <w:r>
        <w:rPr>
          <w:rFonts w:ascii="Arial" w:cs="Arial" w:eastAsia="Arial" w:hAnsi="Arial"/>
          <w:sz w:val="18"/>
          <w:szCs w:val="18"/>
          <w:color w:val="auto"/>
        </w:rPr>
        <w:t>. The Company granted the Investor registration rights for the Shares and any securities acquired in connection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an Amended and Restated Co-Marketing Agreement (described in Item 6) after a period of two years.</w:t>
      </w:r>
    </w:p>
    <w:p>
      <w:pPr>
        <w:spacing w:after="0" w:line="75"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Inspection Rights</w:t>
      </w:r>
      <w:r>
        <w:rPr>
          <w:rFonts w:ascii="Arial" w:cs="Arial" w:eastAsia="Arial" w:hAnsi="Arial"/>
          <w:sz w:val="18"/>
          <w:szCs w:val="18"/>
          <w:color w:val="auto"/>
        </w:rPr>
        <w:t>. So long as the Investor owns not less than 25% of the Shares, the Investor will have an annual right to inspect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books and records.</w:t>
      </w:r>
    </w:p>
    <w:p>
      <w:pPr>
        <w:spacing w:after="0" w:line="75"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Observer Rights</w:t>
      </w:r>
      <w:r>
        <w:rPr>
          <w:rFonts w:ascii="Arial" w:cs="Arial" w:eastAsia="Arial" w:hAnsi="Arial"/>
          <w:sz w:val="18"/>
          <w:szCs w:val="18"/>
          <w:color w:val="auto"/>
        </w:rPr>
        <w:t>. So long as the Investor owns not less than 25% of the Shares, the Company will allow the Investor to choose a representative to</w:t>
      </w:r>
      <w:r>
        <w:rPr>
          <w:rFonts w:ascii="Arial" w:cs="Arial" w:eastAsia="Arial" w:hAnsi="Arial"/>
          <w:sz w:val="18"/>
          <w:szCs w:val="18"/>
          <w:i w:val="1"/>
          <w:iCs w:val="1"/>
          <w:color w:val="auto"/>
        </w:rPr>
        <w:t xml:space="preserve"> </w:t>
      </w:r>
      <w:r>
        <w:rPr>
          <w:rFonts w:ascii="Arial" w:cs="Arial" w:eastAsia="Arial" w:hAnsi="Arial"/>
          <w:sz w:val="18"/>
          <w:szCs w:val="18"/>
          <w:color w:val="auto"/>
        </w:rPr>
        <w:t>attend the Company’s board meetings as a nonvoting observer.</w:t>
      </w:r>
    </w:p>
    <w:p>
      <w:pPr>
        <w:spacing w:after="0" w:line="75" w:lineRule="exact"/>
        <w:rPr>
          <w:rFonts w:ascii="Arial" w:cs="Arial" w:eastAsia="Arial" w:hAnsi="Arial"/>
          <w:sz w:val="18"/>
          <w:szCs w:val="18"/>
          <w:color w:val="auto"/>
        </w:rPr>
      </w:pPr>
    </w:p>
    <w:p>
      <w:pPr>
        <w:ind w:left="900" w:hanging="446"/>
        <w:spacing w:after="0" w:line="286" w:lineRule="auto"/>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Board Seat</w:t>
      </w:r>
      <w:r>
        <w:rPr>
          <w:rFonts w:ascii="Arial" w:cs="Arial" w:eastAsia="Arial" w:hAnsi="Arial"/>
          <w:sz w:val="17"/>
          <w:szCs w:val="17"/>
          <w:color w:val="auto"/>
        </w:rPr>
        <w:t>. So long as the Investor owns not less than 25% of the Shares, the Company will appoint a nominee of the Investor as a member of</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Company’s Board. The Company will have a five member Board provided that it is not prohibited by the rules and regulations of an exchange on which the Company trades. The Company also entered into an indemnity agreement with the nominee.</w:t>
      </w:r>
    </w:p>
    <w:p>
      <w:pPr>
        <w:spacing w:after="0" w:line="70" w:lineRule="exact"/>
        <w:rPr>
          <w:rFonts w:ascii="Arial" w:cs="Arial" w:eastAsia="Arial" w:hAnsi="Arial"/>
          <w:sz w:val="17"/>
          <w:szCs w:val="17"/>
          <w:color w:val="auto"/>
        </w:rPr>
      </w:pPr>
    </w:p>
    <w:p>
      <w:pPr>
        <w:ind w:left="900" w:right="32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Budget Review</w:t>
      </w:r>
      <w:r>
        <w:rPr>
          <w:rFonts w:ascii="Arial" w:cs="Arial" w:eastAsia="Arial" w:hAnsi="Arial"/>
          <w:sz w:val="18"/>
          <w:szCs w:val="18"/>
          <w:color w:val="auto"/>
        </w:rPr>
        <w:t>. So long as the Investor owns not less than 25% of the Shares, the Company will review the Company’s budget plans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Investor’s nominee prior to submission to the Board, at the request of the Investor.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 of 13 Pages</w:t>
      </w:r>
    </w:p>
    <w:p>
      <w:pPr>
        <w:sectPr>
          <w:pgSz w:w="11900" w:h="16838" w:orient="portrait"/>
          <w:cols w:equalWidth="0" w:num="1">
            <w:col w:w="11400"/>
          </w:cols>
          <w:pgMar w:left="240" w:top="270" w:right="259" w:bottom="1440" w:gutter="0" w:footer="0" w:header="0"/>
        </w:sectPr>
      </w:pPr>
    </w:p>
    <w:bookmarkStart w:id="6" w:name="page7"/>
    <w:bookmarkEnd w:id="6"/>
    <w:p>
      <w:pPr>
        <w:ind w:left="900" w:right="260" w:hanging="446"/>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Right of First Refusal</w:t>
      </w:r>
      <w:r>
        <w:rPr>
          <w:rFonts w:ascii="Arial" w:cs="Arial" w:eastAsia="Arial" w:hAnsi="Arial"/>
          <w:sz w:val="18"/>
          <w:szCs w:val="18"/>
          <w:color w:val="auto"/>
        </w:rPr>
        <w:t>. The Company agreed that, in the event that it proposes to sell new securities, it will first offer such new securities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Investor.</w:t>
      </w:r>
    </w:p>
    <w:p>
      <w:pPr>
        <w:spacing w:after="0" w:line="75" w:lineRule="exact"/>
        <w:rPr>
          <w:rFonts w:ascii="Arial" w:cs="Arial" w:eastAsia="Arial" w:hAnsi="Arial"/>
          <w:sz w:val="18"/>
          <w:szCs w:val="18"/>
          <w:color w:val="auto"/>
        </w:rPr>
      </w:pPr>
    </w:p>
    <w:p>
      <w:pPr>
        <w:ind w:left="900" w:right="220" w:hanging="446"/>
        <w:spacing w:after="0" w:line="264"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Special Approval Matters</w:t>
      </w:r>
      <w:r>
        <w:rPr>
          <w:rFonts w:ascii="Arial" w:cs="Arial" w:eastAsia="Arial" w:hAnsi="Arial"/>
          <w:sz w:val="18"/>
          <w:szCs w:val="18"/>
          <w:color w:val="auto"/>
        </w:rPr>
        <w:t>. So long as the Investor owns not less than 25% of the Shares, and provided that it is not prohibited by the rules and</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regulations of an exchange on which the Company trades, the Company agreed that 80% Board approval will be required for certain decisions, including:</w:t>
      </w:r>
    </w:p>
    <w:p>
      <w:pPr>
        <w:spacing w:after="0" w:line="86" w:lineRule="exact"/>
        <w:rPr>
          <w:rFonts w:ascii="Arial" w:cs="Arial" w:eastAsia="Arial" w:hAnsi="Arial"/>
          <w:sz w:val="18"/>
          <w:szCs w:val="18"/>
          <w:color w:val="auto"/>
        </w:rPr>
      </w:pPr>
    </w:p>
    <w:p>
      <w:pPr>
        <w:ind w:left="1920" w:hanging="440"/>
        <w:spacing w:after="0"/>
        <w:tabs>
          <w:tab w:leader="none" w:pos="19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incurrence of any indebtedness in excess of $1.5 million in the aggregate during any fiscal year;</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sale, transfer or other disposition of all or substantially all of the assets of the Company;</w:t>
      </w:r>
    </w:p>
    <w:p>
      <w:pPr>
        <w:spacing w:after="0" w:line="130" w:lineRule="exact"/>
        <w:rPr>
          <w:rFonts w:ascii="Arial" w:cs="Arial" w:eastAsia="Arial" w:hAnsi="Arial"/>
          <w:sz w:val="18"/>
          <w:szCs w:val="18"/>
          <w:color w:val="auto"/>
        </w:rPr>
      </w:pPr>
    </w:p>
    <w:p>
      <w:pPr>
        <w:ind w:left="1920" w:right="340" w:hanging="440"/>
        <w:spacing w:after="0" w:line="277" w:lineRule="auto"/>
        <w:tabs>
          <w:tab w:leader="none" w:pos="19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acquisition of any assets or properties (in one or more related transactions) for cash or otherwise for an amount in excess of $1.5 million in the aggregate during any fiscal year;</w:t>
      </w:r>
    </w:p>
    <w:p>
      <w:pPr>
        <w:spacing w:after="0" w:line="75" w:lineRule="exact"/>
        <w:rPr>
          <w:rFonts w:ascii="Arial" w:cs="Arial" w:eastAsia="Arial" w:hAnsi="Arial"/>
          <w:sz w:val="18"/>
          <w:szCs w:val="18"/>
          <w:color w:val="auto"/>
        </w:rPr>
      </w:pPr>
    </w:p>
    <w:p>
      <w:pPr>
        <w:ind w:left="1920" w:right="20" w:hanging="440"/>
        <w:spacing w:after="0" w:line="277" w:lineRule="auto"/>
        <w:tabs>
          <w:tab w:leader="none" w:pos="19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capital expenditures in excess of $1.5 million individually (or in the aggregate if related to an integrated program of activities) or in excess of $1.5 million in the aggregate during any fiscal year;</w:t>
      </w:r>
    </w:p>
    <w:p>
      <w:pPr>
        <w:spacing w:after="0" w:line="75" w:lineRule="exact"/>
        <w:rPr>
          <w:rFonts w:ascii="Arial" w:cs="Arial" w:eastAsia="Arial" w:hAnsi="Arial"/>
          <w:sz w:val="18"/>
          <w:szCs w:val="18"/>
          <w:color w:val="auto"/>
        </w:rPr>
      </w:pPr>
    </w:p>
    <w:p>
      <w:pPr>
        <w:ind w:left="1920" w:hanging="440"/>
        <w:spacing w:after="0" w:line="277" w:lineRule="auto"/>
        <w:tabs>
          <w:tab w:leader="none" w:pos="19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making, or permitting any subsidiary to make, loans to, investments in, or purchasing, or permitting any subsidiary to purchase, any stock or other securities in another corporation, joint venture, partnership or other entity;</w:t>
      </w:r>
    </w:p>
    <w:p>
      <w:pPr>
        <w:spacing w:after="0" w:line="75" w:lineRule="exact"/>
        <w:rPr>
          <w:rFonts w:ascii="Arial" w:cs="Arial" w:eastAsia="Arial" w:hAnsi="Arial"/>
          <w:sz w:val="18"/>
          <w:szCs w:val="18"/>
          <w:color w:val="auto"/>
        </w:rPr>
      </w:pPr>
    </w:p>
    <w:p>
      <w:pPr>
        <w:ind w:left="1920" w:right="420" w:hanging="440"/>
        <w:spacing w:after="0" w:line="277" w:lineRule="auto"/>
        <w:tabs>
          <w:tab w:leader="none" w:pos="19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commencement or settlement of any lawsuit, arbitration or other legal proceeding related to the intellectual property of the Company or involving an amount in controversy greater than $1.5 million; and</w:t>
      </w:r>
    </w:p>
    <w:p>
      <w:pPr>
        <w:spacing w:after="0" w:line="75" w:lineRule="exact"/>
        <w:rPr>
          <w:rFonts w:ascii="Arial" w:cs="Arial" w:eastAsia="Arial" w:hAnsi="Arial"/>
          <w:sz w:val="18"/>
          <w:szCs w:val="18"/>
          <w:color w:val="auto"/>
        </w:rPr>
      </w:pPr>
    </w:p>
    <w:p>
      <w:pPr>
        <w:ind w:left="1920" w:right="100" w:hanging="440"/>
        <w:spacing w:after="0" w:line="264" w:lineRule="auto"/>
        <w:tabs>
          <w:tab w:leader="none" w:pos="19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issuance of new securities, except for securities issued under an equity incentive plan and any issuance of common stock to vendors, advisors, financial institutions, suppliers or joint venturers that do not exceed, individually or in the aggregate 5% of then issued and outstanding capital stock of the Company.</w:t>
      </w:r>
    </w:p>
    <w:p>
      <w:pPr>
        <w:spacing w:after="0" w:line="181"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The foregoing descriptions of the Stock Purchase Agreement and the Investor Rights Agreement are qualified in their entirety by reference to the full text of the Stock Purchase Agreement and the Investor Rights Agreement, copies of which are filed as Exhibits 10.1 and 10.2, respectively, to the Company’s Current Report on Form 8-K, filed on September 30, 2015.</w:t>
      </w:r>
    </w:p>
    <w:p>
      <w:pPr>
        <w:spacing w:after="0" w:line="181"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The Reporting Persons intend to review their investment in the Company on an ongoing basis. Depending on various factors (including, without limitation, the Company’s financial position and strategic direction, actions taken by the Board, price levels of the relevant securities, other investment opportunities available to the Reporting Persons, market conditions and general economic and industry conditions), the Reporting Persons may take such actions with respect to their investment in the Company as they deem appropriate, including, without limitation, purchasing additional shares of Common Stock or other financial instruments of or related to the Company, or selling some or all of their beneficial holdings, engaging in hedging or similar transactions with respect to the securities of or relating to the Company and/or otherwise changing their intention with respect to any and all matters referred to in Item 4 of Schedule 13D.</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 of 13 Pages</w:t>
      </w:r>
    </w:p>
    <w:p>
      <w:pPr>
        <w:sectPr>
          <w:pgSz w:w="11900" w:h="16838" w:orient="portrait"/>
          <w:cols w:equalWidth="0" w:num="1">
            <w:col w:w="11420"/>
          </w:cols>
          <w:pgMar w:left="240" w:top="27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 Interest in Securities of the Issuer.</w:t>
      </w:r>
    </w:p>
    <w:p>
      <w:pPr>
        <w:spacing w:after="0" w:line="135" w:lineRule="exact"/>
        <w:rPr>
          <w:sz w:val="20"/>
          <w:szCs w:val="20"/>
          <w:color w:val="auto"/>
        </w:rPr>
      </w:pPr>
    </w:p>
    <w:p>
      <w:pPr>
        <w:ind w:left="900" w:right="20" w:hanging="446"/>
        <w:spacing w:after="0" w:line="302"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As of the date hereof, Lux Gamma Three is deemed to beneficially own an aggregate of 6,011,106 Shares, representing approximately 20.8% of the Company’s outstanding Common Stock, based upon 22,949,819 shares of Common Stock outstanding as reflected in the Company’s Quarterly Report on Form 10-Q filed on August 11, 2015 for the quarter ended June 30, 2015. WPP plc indirectly owns 100% of Lux Gamma Three and therefore may be deemed to have beneficial ownership of the Shares. Lux Gamma Three disclaims beneficial ownership of the Shares.</w:t>
      </w:r>
    </w:p>
    <w:p>
      <w:pPr>
        <w:spacing w:after="0" w:line="59" w:lineRule="exact"/>
        <w:rPr>
          <w:rFonts w:ascii="Arial" w:cs="Arial" w:eastAsia="Arial" w:hAnsi="Arial"/>
          <w:sz w:val="16"/>
          <w:szCs w:val="16"/>
          <w:color w:val="auto"/>
        </w:rPr>
      </w:pPr>
    </w:p>
    <w:p>
      <w:pPr>
        <w:ind w:left="900" w:right="20" w:hanging="446"/>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Each of Lux Gamma Three and WPP plc may be deemed to have shared power to vote and dispose or direct the vote and direct the disposition of the Shares.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 Items 4 and 6.</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On September 24, 2015, the Company amended and restated an existing Co-Marketing Agreement with Grey Healthcare Group, LLC (“</w:t>
      </w:r>
      <w:r>
        <w:rPr>
          <w:rFonts w:ascii="Arial" w:cs="Arial" w:eastAsia="Arial" w:hAnsi="Arial"/>
          <w:sz w:val="16"/>
          <w:szCs w:val="16"/>
          <w:u w:val="single" w:color="auto"/>
          <w:color w:val="auto"/>
        </w:rPr>
        <w:t>GHG</w:t>
      </w:r>
      <w:r>
        <w:rPr>
          <w:rFonts w:ascii="Arial" w:cs="Arial" w:eastAsia="Arial" w:hAnsi="Arial"/>
          <w:sz w:val="16"/>
          <w:szCs w:val="16"/>
          <w:color w:val="auto"/>
        </w:rPr>
        <w:t>”) an affiliate of the Investor (the “</w:t>
      </w:r>
      <w:r>
        <w:rPr>
          <w:rFonts w:ascii="Arial" w:cs="Arial" w:eastAsia="Arial" w:hAnsi="Arial"/>
          <w:sz w:val="16"/>
          <w:szCs w:val="16"/>
          <w:u w:val="single" w:color="auto"/>
          <w:color w:val="auto"/>
        </w:rPr>
        <w:t>Amended and Restated Co-Marketing Agreement</w:t>
      </w:r>
      <w:r>
        <w:rPr>
          <w:rFonts w:ascii="Arial" w:cs="Arial" w:eastAsia="Arial" w:hAnsi="Arial"/>
          <w:sz w:val="16"/>
          <w:szCs w:val="16"/>
          <w:color w:val="auto"/>
        </w:rPr>
        <w:t>”). The Amended and Restated Co-Marketing Agreement was amended to give the GHG the option to receive all or part of the compensation due under the agreement in shares of the Company’s Common Stock. Shares issuable under the Amended and Restated Co-Marketing Agreement will be issued to the Investor or any other affiliate of GHG designated in writing by GHG at the following rates:</w:t>
      </w:r>
    </w:p>
    <w:p>
      <w:pPr>
        <w:spacing w:after="0" w:line="60" w:lineRule="exact"/>
        <w:rPr>
          <w:sz w:val="20"/>
          <w:szCs w:val="20"/>
          <w:color w:val="auto"/>
        </w:rPr>
      </w:pPr>
    </w:p>
    <w:p>
      <w:pPr>
        <w:ind w:left="900" w:right="120" w:hanging="446"/>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Until June 30, 2016, the Company will issue the number of shares of Common Stock equal to GHG’s share of net revenues received for sales of new services to GHG or Company clients (“</w:t>
      </w:r>
      <w:r>
        <w:rPr>
          <w:rFonts w:ascii="Arial" w:cs="Arial" w:eastAsia="Arial" w:hAnsi="Arial"/>
          <w:sz w:val="18"/>
          <w:szCs w:val="18"/>
          <w:u w:val="single" w:color="auto"/>
          <w:color w:val="auto"/>
        </w:rPr>
        <w:t>GHG Net Revenues</w:t>
      </w:r>
      <w:r>
        <w:rPr>
          <w:rFonts w:ascii="Arial" w:cs="Arial" w:eastAsia="Arial" w:hAnsi="Arial"/>
          <w:sz w:val="18"/>
          <w:szCs w:val="18"/>
          <w:color w:val="auto"/>
        </w:rPr>
        <w:t>”) divided by $0.7875.</w:t>
      </w:r>
    </w:p>
    <w:p>
      <w:pPr>
        <w:spacing w:after="0" w:line="75" w:lineRule="exact"/>
        <w:rPr>
          <w:rFonts w:ascii="Arial" w:cs="Arial" w:eastAsia="Arial" w:hAnsi="Arial"/>
          <w:sz w:val="18"/>
          <w:szCs w:val="18"/>
          <w:color w:val="auto"/>
        </w:rPr>
      </w:pPr>
    </w:p>
    <w:p>
      <w:pPr>
        <w:jc w:val="both"/>
        <w:ind w:left="900" w:right="20" w:hanging="446"/>
        <w:spacing w:after="0" w:line="264"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After June 30, 2016, the Company will issue the number of shares of Common Stock equal to the GHG Net Revenues divided by a price equal to 80% multiplied by the average trading price of one share of Common Stock during the 30 trading day period immediately prior to the date of the most recent statement of GHG Net Revenues set forth by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See Item 3 with respect to the Stock Purchase Agreement and Item 4 with respect to the Investor Rights Agreement.</w:t>
      </w:r>
    </w:p>
    <w:p>
      <w:pPr>
        <w:spacing w:after="0" w:line="158"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Page 7 of 13 Pages</w:t>
      </w:r>
    </w:p>
    <w:p>
      <w:pPr>
        <w:sectPr>
          <w:pgSz w:w="11900" w:h="16838" w:orient="portrait"/>
          <w:cols w:equalWidth="0" w:num="1">
            <w:col w:w="11380"/>
          </w:cols>
          <w:pgMar w:left="240" w:top="270" w:right="2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 Material to be Filed as Exhibits.</w:t>
      </w:r>
    </w:p>
    <w:p>
      <w:pPr>
        <w:spacing w:after="0" w:line="135"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Joint Filing Agreement among the Reporting Persons, dated as of September 24, 2015.</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Stock Purchase Agreement, dated as of September 24, 2015, incorporated by reference to Exhibit 10.1 to the Company’s Current Report on Form 8-K, filed on September 30, 2015 (the “</w:t>
      </w:r>
      <w:r>
        <w:rPr>
          <w:rFonts w:ascii="Arial" w:cs="Arial" w:eastAsia="Arial" w:hAnsi="Arial"/>
          <w:sz w:val="18"/>
          <w:szCs w:val="18"/>
          <w:u w:val="single" w:color="auto"/>
          <w:color w:val="auto"/>
        </w:rPr>
        <w:t>Form 8-K</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Investor Rights Agreement, dated as of September 24, 2015, incorporated by reference to Exhibit 10.2 to the Form 8-K.</w:t>
      </w:r>
    </w:p>
    <w:p>
      <w:pPr>
        <w:spacing w:after="0" w:line="15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Page 8 of 13 Pages</w:t>
      </w:r>
    </w:p>
    <w:p>
      <w:pPr>
        <w:sectPr>
          <w:pgSz w:w="11900" w:h="16838" w:orient="portrait"/>
          <w:cols w:equalWidth="0" w:num="1">
            <w:col w:w="10940"/>
          </w:cols>
          <w:pgMar w:left="240" w:top="270" w:right="719" w:bottom="1440" w:gutter="0" w:footer="0" w:header="0"/>
        </w:sectPr>
      </w:pPr>
    </w:p>
    <w:bookmarkStart w:id="9" w:name="page10"/>
    <w:bookmarkEnd w:id="9"/>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3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Dated: October 2, 2015</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WPP LUXEMBOURG GAMMA THREE S.À R.L.</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By:  /s/ Anne Ehrismann</w:t>
      </w:r>
    </w:p>
    <w:p>
      <w:pPr>
        <w:spacing w:after="0" w:line="2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Name: Anne Ehrismann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-130810</wp:posOffset>
            </wp:positionV>
            <wp:extent cx="34734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8"/>
          <w:szCs w:val="18"/>
          <w:color w:val="auto"/>
        </w:rPr>
        <w:t>Title: Manager</w:t>
      </w:r>
    </w:p>
    <w:p>
      <w:pPr>
        <w:spacing w:after="0" w:line="21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By:  /s/ Thierry Lenders</w:t>
      </w:r>
    </w:p>
    <w:p>
      <w:pPr>
        <w:spacing w:after="0" w:line="2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Name: Thierry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-130810</wp:posOffset>
            </wp:positionV>
            <wp:extent cx="34734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8"/>
          <w:szCs w:val="18"/>
          <w:color w:val="auto"/>
        </w:rPr>
        <w:t>Title: Manager</w:t>
      </w:r>
    </w:p>
    <w:p>
      <w:pPr>
        <w:spacing w:after="0" w:line="21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By:  /s/ Paul W.G. Richardson</w:t>
      </w:r>
    </w:p>
    <w:p>
      <w:pPr>
        <w:spacing w:after="0" w:line="2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Name: Paul W.G. Richardson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-130810</wp:posOffset>
            </wp:positionV>
            <wp:extent cx="34734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8"/>
          <w:szCs w:val="18"/>
          <w:color w:val="auto"/>
        </w:rPr>
        <w:t>Title: Chief Financial Officer</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9 of 13 Pages</w:t>
      </w:r>
    </w:p>
    <w:p>
      <w:pPr>
        <w:sectPr>
          <w:pgSz w:w="11900" w:h="16838" w:orient="portrait"/>
          <w:cols w:equalWidth="0" w:num="1">
            <w:col w:w="11380"/>
          </w:cols>
          <w:pgMar w:left="240" w:top="274" w:right="27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Executive Officers and Directors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WPP Luxembourg Gamma Three S.à r.l.</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0" w:type="dxa"/>
            <w:vAlign w:val="bottom"/>
            <w:gridSpan w:val="2"/>
          </w:tcPr>
          <w:p>
            <w:pPr>
              <w:spacing w:after="0"/>
              <w:rPr>
                <w:sz w:val="20"/>
                <w:szCs w:val="20"/>
                <w:color w:val="auto"/>
              </w:rPr>
            </w:pPr>
            <w:r>
              <w:rPr>
                <w:rFonts w:ascii="Arial" w:cs="Arial" w:eastAsia="Arial" w:hAnsi="Arial"/>
                <w:sz w:val="14"/>
                <w:szCs w:val="14"/>
                <w:color w:val="auto"/>
              </w:rPr>
              <w:t>Principal Occupation or</w:t>
            </w:r>
          </w:p>
        </w:tc>
        <w:tc>
          <w:tcPr>
            <w:tcW w:w="120" w:type="dxa"/>
            <w:vAlign w:val="bottom"/>
          </w:tcPr>
          <w:p>
            <w:pPr>
              <w:spacing w:after="0"/>
              <w:rPr>
                <w:sz w:val="14"/>
                <w:szCs w:val="14"/>
                <w:color w:val="auto"/>
              </w:rPr>
            </w:pPr>
          </w:p>
        </w:tc>
        <w:tc>
          <w:tcPr>
            <w:tcW w:w="4720" w:type="dxa"/>
            <w:vAlign w:val="bottom"/>
          </w:tcPr>
          <w:p>
            <w:pPr>
              <w:spacing w:after="0"/>
              <w:rPr>
                <w:sz w:val="14"/>
                <w:szCs w:val="14"/>
                <w:color w:val="auto"/>
              </w:rPr>
            </w:pPr>
          </w:p>
        </w:tc>
      </w:tr>
      <w:tr>
        <w:trPr>
          <w:trHeight w:val="174"/>
        </w:trPr>
        <w:tc>
          <w:tcPr>
            <w:tcW w:w="1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Name and Citizenship</w:t>
            </w:r>
          </w:p>
        </w:tc>
        <w:tc>
          <w:tcPr>
            <w:tcW w:w="320" w:type="dxa"/>
            <w:vAlign w:val="bottom"/>
          </w:tcPr>
          <w:p>
            <w:pPr>
              <w:spacing w:after="0"/>
              <w:rPr>
                <w:sz w:val="15"/>
                <w:szCs w:val="15"/>
                <w:color w:val="auto"/>
              </w:rPr>
            </w:pPr>
          </w:p>
        </w:tc>
        <w:tc>
          <w:tcPr>
            <w:tcW w:w="1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Position</w:t>
            </w:r>
          </w:p>
        </w:tc>
        <w:tc>
          <w:tcPr>
            <w:tcW w:w="500" w:type="dxa"/>
            <w:vAlign w:val="bottom"/>
          </w:tcPr>
          <w:p>
            <w:pPr>
              <w:spacing w:after="0"/>
              <w:rPr>
                <w:sz w:val="15"/>
                <w:szCs w:val="15"/>
                <w:color w:val="auto"/>
              </w:rPr>
            </w:pPr>
          </w:p>
        </w:tc>
        <w:tc>
          <w:tcPr>
            <w:tcW w:w="2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Employment</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7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Business Address</w:t>
            </w:r>
          </w:p>
        </w:tc>
      </w:tr>
      <w:tr>
        <w:trPr>
          <w:trHeight w:val="296"/>
        </w:trPr>
        <w:tc>
          <w:tcPr>
            <w:tcW w:w="1820" w:type="dxa"/>
            <w:vAlign w:val="bottom"/>
            <w:gridSpan w:val="2"/>
          </w:tcPr>
          <w:p>
            <w:pPr>
              <w:spacing w:after="0"/>
              <w:rPr>
                <w:sz w:val="20"/>
                <w:szCs w:val="20"/>
                <w:color w:val="auto"/>
              </w:rPr>
            </w:pPr>
            <w:r>
              <w:rPr>
                <w:rFonts w:ascii="Arial" w:cs="Arial" w:eastAsia="Arial" w:hAnsi="Arial"/>
                <w:sz w:val="18"/>
                <w:szCs w:val="18"/>
                <w:color w:val="auto"/>
              </w:rPr>
              <w:t>De Bodt, Michel</w:t>
            </w:r>
          </w:p>
        </w:tc>
        <w:tc>
          <w:tcPr>
            <w:tcW w:w="1960" w:type="dxa"/>
            <w:vAlign w:val="bottom"/>
            <w:gridSpan w:val="3"/>
          </w:tcPr>
          <w:p>
            <w:pPr>
              <w:ind w:left="320"/>
              <w:spacing w:after="0"/>
              <w:rPr>
                <w:sz w:val="20"/>
                <w:szCs w:val="20"/>
                <w:color w:val="auto"/>
              </w:rPr>
            </w:pPr>
            <w:r>
              <w:rPr>
                <w:rFonts w:ascii="Arial" w:cs="Arial" w:eastAsia="Arial" w:hAnsi="Arial"/>
                <w:sz w:val="18"/>
                <w:szCs w:val="18"/>
                <w:color w:val="auto"/>
              </w:rPr>
              <w:t>Manager</w:t>
            </w:r>
          </w:p>
        </w:tc>
        <w:tc>
          <w:tcPr>
            <w:tcW w:w="2800" w:type="dxa"/>
            <w:vAlign w:val="bottom"/>
            <w:gridSpan w:val="2"/>
          </w:tcPr>
          <w:p>
            <w:pPr>
              <w:spacing w:after="0"/>
              <w:rPr>
                <w:sz w:val="20"/>
                <w:szCs w:val="20"/>
                <w:color w:val="auto"/>
              </w:rPr>
            </w:pPr>
            <w:r>
              <w:rPr>
                <w:rFonts w:ascii="Arial" w:cs="Arial" w:eastAsia="Arial" w:hAnsi="Arial"/>
                <w:sz w:val="18"/>
                <w:szCs w:val="18"/>
                <w:color w:val="auto"/>
              </w:rPr>
              <w:t>Finance Director</w:t>
            </w:r>
          </w:p>
        </w:tc>
        <w:tc>
          <w:tcPr>
            <w:tcW w:w="4840" w:type="dxa"/>
            <w:vAlign w:val="bottom"/>
            <w:gridSpan w:val="2"/>
          </w:tcPr>
          <w:p>
            <w:pPr>
              <w:ind w:left="120"/>
              <w:spacing w:after="0"/>
              <w:rPr>
                <w:sz w:val="20"/>
                <w:szCs w:val="20"/>
                <w:color w:val="auto"/>
              </w:rPr>
            </w:pPr>
            <w:r>
              <w:rPr>
                <w:rFonts w:ascii="Arial" w:cs="Arial" w:eastAsia="Arial" w:hAnsi="Arial"/>
                <w:sz w:val="18"/>
                <w:szCs w:val="18"/>
                <w:color w:val="auto"/>
              </w:rPr>
              <w:t>Rue Jules Cockx 8-10, Brussels, 1160, Belgium</w:t>
            </w:r>
          </w:p>
        </w:tc>
      </w:tr>
      <w:tr>
        <w:trPr>
          <w:trHeight w:val="230"/>
        </w:trPr>
        <w:tc>
          <w:tcPr>
            <w:tcW w:w="1820" w:type="dxa"/>
            <w:vAlign w:val="bottom"/>
            <w:gridSpan w:val="2"/>
          </w:tcPr>
          <w:p>
            <w:pPr>
              <w:spacing w:after="0"/>
              <w:rPr>
                <w:sz w:val="20"/>
                <w:szCs w:val="20"/>
                <w:color w:val="auto"/>
              </w:rPr>
            </w:pPr>
            <w:r>
              <w:rPr>
                <w:rFonts w:ascii="Arial" w:cs="Arial" w:eastAsia="Arial" w:hAnsi="Arial"/>
                <w:sz w:val="18"/>
                <w:szCs w:val="18"/>
                <w:color w:val="auto"/>
              </w:rPr>
              <w:t>Belgium</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323"/>
        </w:trPr>
        <w:tc>
          <w:tcPr>
            <w:tcW w:w="1820" w:type="dxa"/>
            <w:vAlign w:val="bottom"/>
            <w:gridSpan w:val="2"/>
          </w:tcPr>
          <w:p>
            <w:pPr>
              <w:spacing w:after="0"/>
              <w:rPr>
                <w:sz w:val="20"/>
                <w:szCs w:val="20"/>
                <w:color w:val="auto"/>
              </w:rPr>
            </w:pPr>
            <w:r>
              <w:rPr>
                <w:rFonts w:ascii="Arial" w:cs="Arial" w:eastAsia="Arial" w:hAnsi="Arial"/>
                <w:sz w:val="18"/>
                <w:szCs w:val="18"/>
                <w:color w:val="auto"/>
              </w:rPr>
              <w:t>Ehrismann, Anne</w:t>
            </w:r>
          </w:p>
        </w:tc>
        <w:tc>
          <w:tcPr>
            <w:tcW w:w="1960" w:type="dxa"/>
            <w:vAlign w:val="bottom"/>
            <w:gridSpan w:val="3"/>
          </w:tcPr>
          <w:p>
            <w:pPr>
              <w:ind w:left="320"/>
              <w:spacing w:after="0"/>
              <w:rPr>
                <w:sz w:val="20"/>
                <w:szCs w:val="20"/>
                <w:color w:val="auto"/>
              </w:rPr>
            </w:pPr>
            <w:r>
              <w:rPr>
                <w:rFonts w:ascii="Arial" w:cs="Arial" w:eastAsia="Arial" w:hAnsi="Arial"/>
                <w:sz w:val="18"/>
                <w:szCs w:val="18"/>
                <w:color w:val="auto"/>
              </w:rPr>
              <w:t>Manager</w:t>
            </w:r>
          </w:p>
        </w:tc>
        <w:tc>
          <w:tcPr>
            <w:tcW w:w="2800" w:type="dxa"/>
            <w:vAlign w:val="bottom"/>
            <w:gridSpan w:val="2"/>
          </w:tcPr>
          <w:p>
            <w:pPr>
              <w:spacing w:after="0"/>
              <w:rPr>
                <w:sz w:val="20"/>
                <w:szCs w:val="20"/>
                <w:color w:val="auto"/>
              </w:rPr>
            </w:pPr>
            <w:r>
              <w:rPr>
                <w:rFonts w:ascii="Arial" w:cs="Arial" w:eastAsia="Arial" w:hAnsi="Arial"/>
                <w:sz w:val="18"/>
                <w:szCs w:val="18"/>
                <w:color w:val="auto"/>
              </w:rPr>
              <w:t>Manager</w:t>
            </w:r>
          </w:p>
        </w:tc>
        <w:tc>
          <w:tcPr>
            <w:tcW w:w="4840" w:type="dxa"/>
            <w:vAlign w:val="bottom"/>
            <w:gridSpan w:val="2"/>
          </w:tcPr>
          <w:p>
            <w:pPr>
              <w:ind w:left="120"/>
              <w:spacing w:after="0"/>
              <w:rPr>
                <w:sz w:val="20"/>
                <w:szCs w:val="20"/>
                <w:color w:val="auto"/>
              </w:rPr>
            </w:pPr>
            <w:r>
              <w:rPr>
                <w:rFonts w:ascii="Arial" w:cs="Arial" w:eastAsia="Arial" w:hAnsi="Arial"/>
                <w:sz w:val="18"/>
                <w:szCs w:val="18"/>
                <w:color w:val="auto"/>
              </w:rPr>
              <w:t>124 Boulevard de la Petrusse, Luxembourg, L-2330</w:t>
            </w:r>
          </w:p>
        </w:tc>
      </w:tr>
      <w:tr>
        <w:trPr>
          <w:trHeight w:val="230"/>
        </w:trPr>
        <w:tc>
          <w:tcPr>
            <w:tcW w:w="1820" w:type="dxa"/>
            <w:vAlign w:val="bottom"/>
            <w:gridSpan w:val="2"/>
          </w:tcPr>
          <w:p>
            <w:pPr>
              <w:spacing w:after="0"/>
              <w:rPr>
                <w:sz w:val="20"/>
                <w:szCs w:val="20"/>
                <w:color w:val="auto"/>
              </w:rPr>
            </w:pPr>
            <w:r>
              <w:rPr>
                <w:rFonts w:ascii="Arial" w:cs="Arial" w:eastAsia="Arial" w:hAnsi="Arial"/>
                <w:sz w:val="18"/>
                <w:szCs w:val="18"/>
                <w:color w:val="auto"/>
              </w:rPr>
              <w:t>France</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323"/>
        </w:trPr>
        <w:tc>
          <w:tcPr>
            <w:tcW w:w="1820" w:type="dxa"/>
            <w:vAlign w:val="bottom"/>
            <w:gridSpan w:val="2"/>
          </w:tcPr>
          <w:p>
            <w:pPr>
              <w:spacing w:after="0"/>
              <w:rPr>
                <w:sz w:val="20"/>
                <w:szCs w:val="20"/>
                <w:color w:val="auto"/>
              </w:rPr>
            </w:pPr>
            <w:r>
              <w:rPr>
                <w:rFonts w:ascii="Arial" w:cs="Arial" w:eastAsia="Arial" w:hAnsi="Arial"/>
                <w:sz w:val="18"/>
                <w:szCs w:val="18"/>
                <w:color w:val="auto"/>
              </w:rPr>
              <w:t>Feider, Marc</w:t>
            </w:r>
          </w:p>
        </w:tc>
        <w:tc>
          <w:tcPr>
            <w:tcW w:w="1960" w:type="dxa"/>
            <w:vAlign w:val="bottom"/>
            <w:gridSpan w:val="3"/>
          </w:tcPr>
          <w:p>
            <w:pPr>
              <w:ind w:left="320"/>
              <w:spacing w:after="0"/>
              <w:rPr>
                <w:sz w:val="20"/>
                <w:szCs w:val="20"/>
                <w:color w:val="auto"/>
              </w:rPr>
            </w:pPr>
            <w:r>
              <w:rPr>
                <w:rFonts w:ascii="Arial" w:cs="Arial" w:eastAsia="Arial" w:hAnsi="Arial"/>
                <w:sz w:val="18"/>
                <w:szCs w:val="18"/>
                <w:color w:val="auto"/>
              </w:rPr>
              <w:t>Manager</w:t>
            </w:r>
          </w:p>
        </w:tc>
        <w:tc>
          <w:tcPr>
            <w:tcW w:w="2800" w:type="dxa"/>
            <w:vAlign w:val="bottom"/>
            <w:gridSpan w:val="2"/>
          </w:tcPr>
          <w:p>
            <w:pPr>
              <w:spacing w:after="0"/>
              <w:rPr>
                <w:sz w:val="20"/>
                <w:szCs w:val="20"/>
                <w:color w:val="auto"/>
              </w:rPr>
            </w:pPr>
            <w:r>
              <w:rPr>
                <w:rFonts w:ascii="Arial" w:cs="Arial" w:eastAsia="Arial" w:hAnsi="Arial"/>
                <w:sz w:val="18"/>
                <w:szCs w:val="18"/>
                <w:color w:val="auto"/>
              </w:rPr>
              <w:t>Lawyer</w:t>
            </w:r>
          </w:p>
        </w:tc>
        <w:tc>
          <w:tcPr>
            <w:tcW w:w="4840" w:type="dxa"/>
            <w:vAlign w:val="bottom"/>
            <w:gridSpan w:val="2"/>
          </w:tcPr>
          <w:p>
            <w:pPr>
              <w:ind w:left="120"/>
              <w:spacing w:after="0"/>
              <w:rPr>
                <w:sz w:val="20"/>
                <w:szCs w:val="20"/>
                <w:color w:val="auto"/>
              </w:rPr>
            </w:pPr>
            <w:r>
              <w:rPr>
                <w:rFonts w:ascii="Arial" w:cs="Arial" w:eastAsia="Arial" w:hAnsi="Arial"/>
                <w:sz w:val="18"/>
                <w:szCs w:val="18"/>
                <w:color w:val="auto"/>
              </w:rPr>
              <w:t>33 Avenue J.F. Kennedy, L-1855 Luxembourg</w:t>
            </w:r>
          </w:p>
        </w:tc>
      </w:tr>
      <w:tr>
        <w:trPr>
          <w:trHeight w:val="230"/>
        </w:trPr>
        <w:tc>
          <w:tcPr>
            <w:tcW w:w="1820" w:type="dxa"/>
            <w:vAlign w:val="bottom"/>
            <w:gridSpan w:val="2"/>
          </w:tcPr>
          <w:p>
            <w:pPr>
              <w:spacing w:after="0"/>
              <w:rPr>
                <w:sz w:val="20"/>
                <w:szCs w:val="20"/>
                <w:color w:val="auto"/>
              </w:rPr>
            </w:pPr>
            <w:r>
              <w:rPr>
                <w:rFonts w:ascii="Arial" w:cs="Arial" w:eastAsia="Arial" w:hAnsi="Arial"/>
                <w:sz w:val="18"/>
                <w:szCs w:val="18"/>
                <w:color w:val="auto"/>
              </w:rPr>
              <w:t>Luxembourg</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323"/>
        </w:trPr>
        <w:tc>
          <w:tcPr>
            <w:tcW w:w="1820" w:type="dxa"/>
            <w:vAlign w:val="bottom"/>
            <w:gridSpan w:val="2"/>
          </w:tcPr>
          <w:p>
            <w:pPr>
              <w:spacing w:after="0"/>
              <w:rPr>
                <w:sz w:val="20"/>
                <w:szCs w:val="20"/>
                <w:color w:val="auto"/>
              </w:rPr>
            </w:pPr>
            <w:r>
              <w:rPr>
                <w:rFonts w:ascii="Arial" w:cs="Arial" w:eastAsia="Arial" w:hAnsi="Arial"/>
                <w:sz w:val="18"/>
                <w:szCs w:val="18"/>
                <w:color w:val="auto"/>
              </w:rPr>
              <w:t>Gerrard, Peter</w:t>
            </w:r>
          </w:p>
        </w:tc>
        <w:tc>
          <w:tcPr>
            <w:tcW w:w="1960" w:type="dxa"/>
            <w:vAlign w:val="bottom"/>
            <w:gridSpan w:val="3"/>
          </w:tcPr>
          <w:p>
            <w:pPr>
              <w:ind w:left="320"/>
              <w:spacing w:after="0"/>
              <w:rPr>
                <w:sz w:val="20"/>
                <w:szCs w:val="20"/>
                <w:color w:val="auto"/>
              </w:rPr>
            </w:pPr>
            <w:r>
              <w:rPr>
                <w:rFonts w:ascii="Arial" w:cs="Arial" w:eastAsia="Arial" w:hAnsi="Arial"/>
                <w:sz w:val="18"/>
                <w:szCs w:val="18"/>
                <w:color w:val="auto"/>
              </w:rPr>
              <w:t>Manager</w:t>
            </w:r>
          </w:p>
        </w:tc>
        <w:tc>
          <w:tcPr>
            <w:tcW w:w="2800" w:type="dxa"/>
            <w:vAlign w:val="bottom"/>
            <w:gridSpan w:val="2"/>
          </w:tcPr>
          <w:p>
            <w:pPr>
              <w:spacing w:after="0"/>
              <w:rPr>
                <w:sz w:val="20"/>
                <w:szCs w:val="20"/>
                <w:color w:val="auto"/>
              </w:rPr>
            </w:pPr>
            <w:r>
              <w:rPr>
                <w:rFonts w:ascii="Arial" w:cs="Arial" w:eastAsia="Arial" w:hAnsi="Arial"/>
                <w:sz w:val="18"/>
                <w:szCs w:val="18"/>
                <w:color w:val="auto"/>
              </w:rPr>
              <w:t>Managing Director</w:t>
            </w:r>
          </w:p>
        </w:tc>
        <w:tc>
          <w:tcPr>
            <w:tcW w:w="4840" w:type="dxa"/>
            <w:vAlign w:val="bottom"/>
            <w:gridSpan w:val="2"/>
          </w:tcPr>
          <w:p>
            <w:pPr>
              <w:ind w:left="120"/>
              <w:spacing w:after="0"/>
              <w:rPr>
                <w:sz w:val="20"/>
                <w:szCs w:val="20"/>
                <w:color w:val="auto"/>
              </w:rPr>
            </w:pPr>
            <w:r>
              <w:rPr>
                <w:rFonts w:ascii="Arial" w:cs="Arial" w:eastAsia="Arial" w:hAnsi="Arial"/>
                <w:sz w:val="18"/>
                <w:szCs w:val="18"/>
                <w:color w:val="auto"/>
              </w:rPr>
              <w:t>124 Boulevard de la Petrusse, Luxembourg, L-2330</w:t>
            </w:r>
          </w:p>
        </w:tc>
      </w:tr>
      <w:tr>
        <w:trPr>
          <w:trHeight w:val="230"/>
        </w:trPr>
        <w:tc>
          <w:tcPr>
            <w:tcW w:w="1820" w:type="dxa"/>
            <w:vAlign w:val="bottom"/>
            <w:gridSpan w:val="2"/>
          </w:tcPr>
          <w:p>
            <w:pPr>
              <w:spacing w:after="0"/>
              <w:rPr>
                <w:sz w:val="20"/>
                <w:szCs w:val="20"/>
                <w:color w:val="auto"/>
              </w:rPr>
            </w:pPr>
            <w:r>
              <w:rPr>
                <w:rFonts w:ascii="Arial" w:cs="Arial" w:eastAsia="Arial" w:hAnsi="Arial"/>
                <w:sz w:val="18"/>
                <w:szCs w:val="18"/>
                <w:color w:val="auto"/>
              </w:rPr>
              <w:t>Luxembourg</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323"/>
        </w:trPr>
        <w:tc>
          <w:tcPr>
            <w:tcW w:w="1820" w:type="dxa"/>
            <w:vAlign w:val="bottom"/>
            <w:gridSpan w:val="2"/>
          </w:tcPr>
          <w:p>
            <w:pPr>
              <w:spacing w:after="0"/>
              <w:rPr>
                <w:sz w:val="20"/>
                <w:szCs w:val="20"/>
                <w:color w:val="auto"/>
              </w:rPr>
            </w:pPr>
            <w:r>
              <w:rPr>
                <w:rFonts w:ascii="Arial" w:cs="Arial" w:eastAsia="Arial" w:hAnsi="Arial"/>
                <w:sz w:val="18"/>
                <w:szCs w:val="18"/>
                <w:color w:val="auto"/>
              </w:rPr>
              <w:t>Lenders, Thierry</w:t>
            </w:r>
          </w:p>
        </w:tc>
        <w:tc>
          <w:tcPr>
            <w:tcW w:w="1960" w:type="dxa"/>
            <w:vAlign w:val="bottom"/>
            <w:gridSpan w:val="3"/>
          </w:tcPr>
          <w:p>
            <w:pPr>
              <w:ind w:left="320"/>
              <w:spacing w:after="0"/>
              <w:rPr>
                <w:sz w:val="20"/>
                <w:szCs w:val="20"/>
                <w:color w:val="auto"/>
              </w:rPr>
            </w:pPr>
            <w:r>
              <w:rPr>
                <w:rFonts w:ascii="Arial" w:cs="Arial" w:eastAsia="Arial" w:hAnsi="Arial"/>
                <w:sz w:val="18"/>
                <w:szCs w:val="18"/>
                <w:color w:val="auto"/>
              </w:rPr>
              <w:t>Manager</w:t>
            </w:r>
          </w:p>
        </w:tc>
        <w:tc>
          <w:tcPr>
            <w:tcW w:w="2800" w:type="dxa"/>
            <w:vAlign w:val="bottom"/>
            <w:gridSpan w:val="2"/>
          </w:tcPr>
          <w:p>
            <w:pPr>
              <w:spacing w:after="0"/>
              <w:rPr>
                <w:sz w:val="20"/>
                <w:szCs w:val="20"/>
                <w:color w:val="auto"/>
              </w:rPr>
            </w:pPr>
            <w:r>
              <w:rPr>
                <w:rFonts w:ascii="Arial" w:cs="Arial" w:eastAsia="Arial" w:hAnsi="Arial"/>
                <w:sz w:val="18"/>
                <w:szCs w:val="18"/>
                <w:color w:val="auto"/>
              </w:rPr>
              <w:t>European Treasury Manager</w:t>
            </w:r>
          </w:p>
        </w:tc>
        <w:tc>
          <w:tcPr>
            <w:tcW w:w="4840" w:type="dxa"/>
            <w:vAlign w:val="bottom"/>
            <w:gridSpan w:val="2"/>
          </w:tcPr>
          <w:p>
            <w:pPr>
              <w:ind w:left="120"/>
              <w:spacing w:after="0"/>
              <w:rPr>
                <w:sz w:val="20"/>
                <w:szCs w:val="20"/>
                <w:color w:val="auto"/>
              </w:rPr>
            </w:pPr>
            <w:r>
              <w:rPr>
                <w:rFonts w:ascii="Arial" w:cs="Arial" w:eastAsia="Arial" w:hAnsi="Arial"/>
                <w:sz w:val="18"/>
                <w:szCs w:val="18"/>
                <w:color w:val="auto"/>
              </w:rPr>
              <w:t>Rue Jules Cockx 8-10, Brussels, 1160, Belgium</w:t>
            </w:r>
          </w:p>
        </w:tc>
      </w:tr>
      <w:tr>
        <w:trPr>
          <w:trHeight w:val="230"/>
        </w:trPr>
        <w:tc>
          <w:tcPr>
            <w:tcW w:w="1820" w:type="dxa"/>
            <w:vAlign w:val="bottom"/>
            <w:gridSpan w:val="2"/>
          </w:tcPr>
          <w:p>
            <w:pPr>
              <w:spacing w:after="0"/>
              <w:rPr>
                <w:sz w:val="20"/>
                <w:szCs w:val="20"/>
                <w:color w:val="auto"/>
              </w:rPr>
            </w:pPr>
            <w:r>
              <w:rPr>
                <w:rFonts w:ascii="Arial" w:cs="Arial" w:eastAsia="Arial" w:hAnsi="Arial"/>
                <w:sz w:val="18"/>
                <w:szCs w:val="18"/>
                <w:color w:val="auto"/>
              </w:rPr>
              <w:t>Luxembourg</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323"/>
        </w:trPr>
        <w:tc>
          <w:tcPr>
            <w:tcW w:w="1820" w:type="dxa"/>
            <w:vAlign w:val="bottom"/>
            <w:gridSpan w:val="2"/>
          </w:tcPr>
          <w:p>
            <w:pPr>
              <w:spacing w:after="0"/>
              <w:rPr>
                <w:sz w:val="20"/>
                <w:szCs w:val="20"/>
                <w:color w:val="auto"/>
              </w:rPr>
            </w:pPr>
            <w:r>
              <w:rPr>
                <w:rFonts w:ascii="Arial" w:cs="Arial" w:eastAsia="Arial" w:hAnsi="Arial"/>
                <w:sz w:val="18"/>
                <w:szCs w:val="18"/>
                <w:color w:val="auto"/>
              </w:rPr>
              <w:t>van Popering, Emile</w:t>
            </w:r>
          </w:p>
        </w:tc>
        <w:tc>
          <w:tcPr>
            <w:tcW w:w="1960" w:type="dxa"/>
            <w:vAlign w:val="bottom"/>
            <w:gridSpan w:val="3"/>
          </w:tcPr>
          <w:p>
            <w:pPr>
              <w:ind w:left="320"/>
              <w:spacing w:after="0"/>
              <w:rPr>
                <w:sz w:val="20"/>
                <w:szCs w:val="20"/>
                <w:color w:val="auto"/>
              </w:rPr>
            </w:pPr>
            <w:r>
              <w:rPr>
                <w:rFonts w:ascii="Arial" w:cs="Arial" w:eastAsia="Arial" w:hAnsi="Arial"/>
                <w:sz w:val="18"/>
                <w:szCs w:val="18"/>
                <w:color w:val="auto"/>
              </w:rPr>
              <w:t>Manager</w:t>
            </w:r>
          </w:p>
        </w:tc>
        <w:tc>
          <w:tcPr>
            <w:tcW w:w="2800" w:type="dxa"/>
            <w:vAlign w:val="bottom"/>
            <w:gridSpan w:val="2"/>
          </w:tcPr>
          <w:p>
            <w:pPr>
              <w:spacing w:after="0"/>
              <w:rPr>
                <w:sz w:val="20"/>
                <w:szCs w:val="20"/>
                <w:color w:val="auto"/>
              </w:rPr>
            </w:pPr>
            <w:r>
              <w:rPr>
                <w:rFonts w:ascii="Arial" w:cs="Arial" w:eastAsia="Arial" w:hAnsi="Arial"/>
                <w:sz w:val="18"/>
                <w:szCs w:val="18"/>
                <w:color w:val="auto"/>
              </w:rPr>
              <w:t>Finance Director</w:t>
            </w:r>
          </w:p>
        </w:tc>
        <w:tc>
          <w:tcPr>
            <w:tcW w:w="4840" w:type="dxa"/>
            <w:vAlign w:val="bottom"/>
            <w:gridSpan w:val="2"/>
          </w:tcPr>
          <w:p>
            <w:pPr>
              <w:ind w:left="120"/>
              <w:spacing w:after="0"/>
              <w:rPr>
                <w:sz w:val="20"/>
                <w:szCs w:val="20"/>
                <w:color w:val="auto"/>
              </w:rPr>
            </w:pPr>
            <w:r>
              <w:rPr>
                <w:rFonts w:ascii="Arial" w:cs="Arial" w:eastAsia="Arial" w:hAnsi="Arial"/>
                <w:sz w:val="18"/>
                <w:szCs w:val="18"/>
                <w:color w:val="auto"/>
              </w:rPr>
              <w:t>Cantersteen 47, Brussels, 1000, Belgium</w:t>
            </w:r>
          </w:p>
        </w:tc>
      </w:tr>
      <w:tr>
        <w:trPr>
          <w:trHeight w:val="230"/>
        </w:trPr>
        <w:tc>
          <w:tcPr>
            <w:tcW w:w="1820" w:type="dxa"/>
            <w:vAlign w:val="bottom"/>
            <w:gridSpan w:val="2"/>
          </w:tcPr>
          <w:p>
            <w:pPr>
              <w:spacing w:after="0"/>
              <w:rPr>
                <w:sz w:val="20"/>
                <w:szCs w:val="20"/>
                <w:color w:val="auto"/>
              </w:rPr>
            </w:pPr>
            <w:r>
              <w:rPr>
                <w:rFonts w:ascii="Arial" w:cs="Arial" w:eastAsia="Arial" w:hAnsi="Arial"/>
                <w:sz w:val="18"/>
                <w:szCs w:val="18"/>
                <w:color w:val="auto"/>
              </w:rPr>
              <w:t>Netherlands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323"/>
        </w:trPr>
        <w:tc>
          <w:tcPr>
            <w:tcW w:w="1820" w:type="dxa"/>
            <w:vAlign w:val="bottom"/>
            <w:gridSpan w:val="2"/>
          </w:tcPr>
          <w:p>
            <w:pPr>
              <w:spacing w:after="0"/>
              <w:rPr>
                <w:sz w:val="20"/>
                <w:szCs w:val="20"/>
                <w:color w:val="auto"/>
              </w:rPr>
            </w:pPr>
            <w:r>
              <w:rPr>
                <w:rFonts w:ascii="Arial" w:cs="Arial" w:eastAsia="Arial" w:hAnsi="Arial"/>
                <w:sz w:val="18"/>
                <w:szCs w:val="18"/>
                <w:color w:val="auto"/>
              </w:rPr>
              <w:t>Stenke, Lennart</w:t>
            </w:r>
          </w:p>
        </w:tc>
        <w:tc>
          <w:tcPr>
            <w:tcW w:w="1960" w:type="dxa"/>
            <w:vAlign w:val="bottom"/>
            <w:gridSpan w:val="3"/>
          </w:tcPr>
          <w:p>
            <w:pPr>
              <w:ind w:left="320"/>
              <w:spacing w:after="0"/>
              <w:rPr>
                <w:sz w:val="20"/>
                <w:szCs w:val="20"/>
                <w:color w:val="auto"/>
              </w:rPr>
            </w:pPr>
            <w:r>
              <w:rPr>
                <w:rFonts w:ascii="Arial" w:cs="Arial" w:eastAsia="Arial" w:hAnsi="Arial"/>
                <w:sz w:val="18"/>
                <w:szCs w:val="18"/>
                <w:color w:val="auto"/>
              </w:rPr>
              <w:t>Manager</w:t>
            </w:r>
          </w:p>
        </w:tc>
        <w:tc>
          <w:tcPr>
            <w:tcW w:w="2800" w:type="dxa"/>
            <w:vAlign w:val="bottom"/>
            <w:gridSpan w:val="2"/>
          </w:tcPr>
          <w:p>
            <w:pPr>
              <w:spacing w:after="0"/>
              <w:rPr>
                <w:sz w:val="20"/>
                <w:szCs w:val="20"/>
                <w:color w:val="auto"/>
              </w:rPr>
            </w:pPr>
            <w:r>
              <w:rPr>
                <w:rFonts w:ascii="Arial" w:cs="Arial" w:eastAsia="Arial" w:hAnsi="Arial"/>
                <w:sz w:val="18"/>
                <w:szCs w:val="18"/>
                <w:color w:val="auto"/>
              </w:rPr>
              <w:t>Company Director</w:t>
            </w:r>
          </w:p>
        </w:tc>
        <w:tc>
          <w:tcPr>
            <w:tcW w:w="4840" w:type="dxa"/>
            <w:vAlign w:val="bottom"/>
            <w:gridSpan w:val="2"/>
          </w:tcPr>
          <w:p>
            <w:pPr>
              <w:ind w:left="120"/>
              <w:spacing w:after="0"/>
              <w:rPr>
                <w:sz w:val="20"/>
                <w:szCs w:val="20"/>
                <w:color w:val="auto"/>
              </w:rPr>
            </w:pPr>
            <w:r>
              <w:rPr>
                <w:rFonts w:ascii="Arial" w:cs="Arial" w:eastAsia="Arial" w:hAnsi="Arial"/>
                <w:sz w:val="18"/>
                <w:szCs w:val="18"/>
                <w:color w:val="auto"/>
              </w:rPr>
              <w:t>124 Boulevard de la Petrusse, Luxembourg, L-2330</w:t>
            </w:r>
          </w:p>
        </w:tc>
      </w:tr>
      <w:tr>
        <w:trPr>
          <w:trHeight w:val="230"/>
        </w:trPr>
        <w:tc>
          <w:tcPr>
            <w:tcW w:w="1820" w:type="dxa"/>
            <w:vAlign w:val="bottom"/>
            <w:gridSpan w:val="2"/>
          </w:tcPr>
          <w:p>
            <w:pPr>
              <w:spacing w:after="0"/>
              <w:rPr>
                <w:sz w:val="20"/>
                <w:szCs w:val="20"/>
                <w:color w:val="auto"/>
              </w:rPr>
            </w:pPr>
            <w:r>
              <w:rPr>
                <w:rFonts w:ascii="Arial" w:cs="Arial" w:eastAsia="Arial" w:hAnsi="Arial"/>
                <w:sz w:val="18"/>
                <w:szCs w:val="18"/>
                <w:color w:val="auto"/>
              </w:rPr>
              <w:t>Sweden</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323"/>
        </w:trPr>
        <w:tc>
          <w:tcPr>
            <w:tcW w:w="1820" w:type="dxa"/>
            <w:vAlign w:val="bottom"/>
            <w:gridSpan w:val="2"/>
          </w:tcPr>
          <w:p>
            <w:pPr>
              <w:spacing w:after="0"/>
              <w:rPr>
                <w:sz w:val="20"/>
                <w:szCs w:val="20"/>
                <w:color w:val="auto"/>
              </w:rPr>
            </w:pPr>
            <w:r>
              <w:rPr>
                <w:rFonts w:ascii="Arial" w:cs="Arial" w:eastAsia="Arial" w:hAnsi="Arial"/>
                <w:sz w:val="18"/>
                <w:szCs w:val="18"/>
                <w:color w:val="auto"/>
              </w:rPr>
              <w:t>Mulder, Astrid</w:t>
            </w:r>
          </w:p>
        </w:tc>
        <w:tc>
          <w:tcPr>
            <w:tcW w:w="1960" w:type="dxa"/>
            <w:vAlign w:val="bottom"/>
            <w:gridSpan w:val="3"/>
          </w:tcPr>
          <w:p>
            <w:pPr>
              <w:ind w:left="320"/>
              <w:spacing w:after="0"/>
              <w:rPr>
                <w:sz w:val="20"/>
                <w:szCs w:val="20"/>
                <w:color w:val="auto"/>
              </w:rPr>
            </w:pPr>
            <w:r>
              <w:rPr>
                <w:rFonts w:ascii="Arial" w:cs="Arial" w:eastAsia="Arial" w:hAnsi="Arial"/>
                <w:sz w:val="18"/>
                <w:szCs w:val="18"/>
                <w:color w:val="auto"/>
              </w:rPr>
              <w:t>Manager</w:t>
            </w:r>
          </w:p>
        </w:tc>
        <w:tc>
          <w:tcPr>
            <w:tcW w:w="280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4840" w:type="dxa"/>
            <w:vAlign w:val="bottom"/>
            <w:gridSpan w:val="2"/>
          </w:tcPr>
          <w:p>
            <w:pPr>
              <w:ind w:left="120"/>
              <w:spacing w:after="0"/>
              <w:rPr>
                <w:sz w:val="20"/>
                <w:szCs w:val="20"/>
                <w:color w:val="auto"/>
              </w:rPr>
            </w:pPr>
            <w:r>
              <w:rPr>
                <w:rFonts w:ascii="Arial" w:cs="Arial" w:eastAsia="Arial" w:hAnsi="Arial"/>
                <w:sz w:val="18"/>
                <w:szCs w:val="18"/>
                <w:color w:val="auto"/>
              </w:rPr>
              <w:t>Laan op Zuid 167, Rotterdam, 3072 DB, Netherlands</w:t>
            </w:r>
          </w:p>
        </w:tc>
      </w:tr>
      <w:tr>
        <w:trPr>
          <w:trHeight w:val="230"/>
        </w:trPr>
        <w:tc>
          <w:tcPr>
            <w:tcW w:w="1820" w:type="dxa"/>
            <w:vAlign w:val="bottom"/>
            <w:gridSpan w:val="2"/>
          </w:tcPr>
          <w:p>
            <w:pPr>
              <w:spacing w:after="0"/>
              <w:rPr>
                <w:sz w:val="20"/>
                <w:szCs w:val="20"/>
                <w:color w:val="auto"/>
              </w:rPr>
            </w:pPr>
            <w:r>
              <w:rPr>
                <w:rFonts w:ascii="Arial" w:cs="Arial" w:eastAsia="Arial" w:hAnsi="Arial"/>
                <w:sz w:val="18"/>
                <w:szCs w:val="18"/>
                <w:color w:val="auto"/>
              </w:rPr>
              <w:t>Netherlands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446"/>
        </w:trPr>
        <w:tc>
          <w:tcPr>
            <w:tcW w:w="1820" w:type="dxa"/>
            <w:vAlign w:val="bottom"/>
            <w:gridSpan w:val="2"/>
          </w:tcPr>
          <w:p>
            <w:pPr>
              <w:spacing w:after="0"/>
              <w:rPr>
                <w:sz w:val="20"/>
                <w:szCs w:val="20"/>
                <w:color w:val="auto"/>
              </w:rPr>
            </w:pPr>
            <w:r>
              <w:rPr>
                <w:rFonts w:ascii="Arial" w:cs="Arial" w:eastAsia="Arial" w:hAnsi="Arial"/>
                <w:sz w:val="18"/>
                <w:szCs w:val="18"/>
                <w:b w:val="1"/>
                <w:bCs w:val="1"/>
                <w:color w:val="auto"/>
              </w:rPr>
              <w:t>WPP plc</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346"/>
        </w:trPr>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0" w:type="dxa"/>
            <w:vAlign w:val="bottom"/>
            <w:gridSpan w:val="2"/>
          </w:tcPr>
          <w:p>
            <w:pPr>
              <w:spacing w:after="0"/>
              <w:rPr>
                <w:sz w:val="20"/>
                <w:szCs w:val="20"/>
                <w:color w:val="auto"/>
              </w:rPr>
            </w:pPr>
            <w:r>
              <w:rPr>
                <w:rFonts w:ascii="Arial" w:cs="Arial" w:eastAsia="Arial" w:hAnsi="Arial"/>
                <w:sz w:val="14"/>
                <w:szCs w:val="14"/>
                <w:color w:val="auto"/>
              </w:rPr>
              <w:t>Principal Occupation or</w:t>
            </w:r>
          </w:p>
        </w:tc>
        <w:tc>
          <w:tcPr>
            <w:tcW w:w="12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174"/>
        </w:trPr>
        <w:tc>
          <w:tcPr>
            <w:tcW w:w="1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Name and Citizenship</w:t>
            </w:r>
          </w:p>
        </w:tc>
        <w:tc>
          <w:tcPr>
            <w:tcW w:w="320" w:type="dxa"/>
            <w:vAlign w:val="bottom"/>
          </w:tcPr>
          <w:p>
            <w:pPr>
              <w:spacing w:after="0"/>
              <w:rPr>
                <w:sz w:val="15"/>
                <w:szCs w:val="15"/>
                <w:color w:val="auto"/>
              </w:rPr>
            </w:pPr>
          </w:p>
        </w:tc>
        <w:tc>
          <w:tcPr>
            <w:tcW w:w="1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Position</w:t>
            </w:r>
          </w:p>
        </w:tc>
        <w:tc>
          <w:tcPr>
            <w:tcW w:w="500" w:type="dxa"/>
            <w:vAlign w:val="bottom"/>
          </w:tcPr>
          <w:p>
            <w:pPr>
              <w:spacing w:after="0"/>
              <w:rPr>
                <w:sz w:val="15"/>
                <w:szCs w:val="15"/>
                <w:color w:val="auto"/>
              </w:rPr>
            </w:pPr>
          </w:p>
        </w:tc>
        <w:tc>
          <w:tcPr>
            <w:tcW w:w="2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Employment</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7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Business Address</w:t>
            </w:r>
          </w:p>
        </w:tc>
      </w:tr>
      <w:tr>
        <w:trPr>
          <w:trHeight w:val="296"/>
        </w:trPr>
        <w:tc>
          <w:tcPr>
            <w:tcW w:w="1820" w:type="dxa"/>
            <w:vAlign w:val="bottom"/>
            <w:gridSpan w:val="2"/>
          </w:tcPr>
          <w:p>
            <w:pPr>
              <w:spacing w:after="0"/>
              <w:rPr>
                <w:sz w:val="20"/>
                <w:szCs w:val="20"/>
                <w:color w:val="auto"/>
              </w:rPr>
            </w:pPr>
            <w:r>
              <w:rPr>
                <w:rFonts w:ascii="Arial" w:cs="Arial" w:eastAsia="Arial" w:hAnsi="Arial"/>
                <w:sz w:val="18"/>
                <w:szCs w:val="18"/>
                <w:color w:val="auto"/>
              </w:rPr>
              <w:t>Sorrell, Sir Martin</w:t>
            </w:r>
          </w:p>
        </w:tc>
        <w:tc>
          <w:tcPr>
            <w:tcW w:w="196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c>
          <w:tcPr>
            <w:tcW w:w="2800" w:type="dxa"/>
            <w:vAlign w:val="bottom"/>
            <w:gridSpan w:val="2"/>
          </w:tcPr>
          <w:p>
            <w:pPr>
              <w:spacing w:after="0"/>
              <w:rPr>
                <w:sz w:val="20"/>
                <w:szCs w:val="20"/>
                <w:color w:val="auto"/>
              </w:rPr>
            </w:pPr>
            <w:r>
              <w:rPr>
                <w:rFonts w:ascii="Arial" w:cs="Arial" w:eastAsia="Arial" w:hAnsi="Arial"/>
                <w:sz w:val="18"/>
                <w:szCs w:val="18"/>
                <w:color w:val="auto"/>
              </w:rPr>
              <w:t>Group Chief Executive</w:t>
            </w:r>
          </w:p>
        </w:tc>
        <w:tc>
          <w:tcPr>
            <w:tcW w:w="4840" w:type="dxa"/>
            <w:vAlign w:val="bottom"/>
            <w:gridSpan w:val="2"/>
          </w:tcPr>
          <w:p>
            <w:pPr>
              <w:ind w:left="120"/>
              <w:spacing w:after="0"/>
              <w:rPr>
                <w:sz w:val="20"/>
                <w:szCs w:val="20"/>
                <w:color w:val="auto"/>
              </w:rPr>
            </w:pPr>
            <w:r>
              <w:rPr>
                <w:rFonts w:ascii="Arial" w:cs="Arial" w:eastAsia="Arial" w:hAnsi="Arial"/>
                <w:sz w:val="18"/>
                <w:szCs w:val="18"/>
                <w:color w:val="auto"/>
              </w:rPr>
              <w:t>27 Farm Street, London, W1J 5RJ, United Kingdom</w:t>
            </w:r>
          </w:p>
        </w:tc>
      </w:tr>
      <w:tr>
        <w:trPr>
          <w:trHeight w:val="230"/>
        </w:trPr>
        <w:tc>
          <w:tcPr>
            <w:tcW w:w="1820" w:type="dxa"/>
            <w:vAlign w:val="bottom"/>
            <w:gridSpan w:val="2"/>
          </w:tcPr>
          <w:p>
            <w:pPr>
              <w:spacing w:after="0"/>
              <w:rPr>
                <w:sz w:val="20"/>
                <w:szCs w:val="20"/>
                <w:color w:val="auto"/>
              </w:rPr>
            </w:pPr>
            <w:r>
              <w:rPr>
                <w:rFonts w:ascii="Arial" w:cs="Arial" w:eastAsia="Arial" w:hAnsi="Arial"/>
                <w:sz w:val="18"/>
                <w:szCs w:val="18"/>
                <w:color w:val="auto"/>
              </w:rPr>
              <w:t>Great Britain</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(WPP plc)</w:t>
            </w:r>
          </w:p>
        </w:tc>
        <w:tc>
          <w:tcPr>
            <w:tcW w:w="12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378"/>
        </w:trPr>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0" w:type="dxa"/>
            <w:vAlign w:val="bottom"/>
            <w:gridSpan w:val="2"/>
          </w:tcPr>
          <w:p>
            <w:pPr>
              <w:ind w:left="1200"/>
              <w:spacing w:after="0"/>
              <w:rPr>
                <w:sz w:val="20"/>
                <w:szCs w:val="20"/>
                <w:color w:val="auto"/>
              </w:rPr>
            </w:pPr>
            <w:r>
              <w:rPr>
                <w:rFonts w:ascii="Arial" w:cs="Arial" w:eastAsia="Arial" w:hAnsi="Arial"/>
                <w:sz w:val="18"/>
                <w:szCs w:val="18"/>
                <w:color w:val="auto"/>
                <w:w w:val="93"/>
              </w:rPr>
              <w:t>Page 10 of 13 Pages</w:t>
            </w:r>
          </w:p>
        </w:tc>
        <w:tc>
          <w:tcPr>
            <w:tcW w:w="120" w:type="dxa"/>
            <w:vAlign w:val="bottom"/>
          </w:tcPr>
          <w:p>
            <w:pPr>
              <w:spacing w:after="0"/>
              <w:rPr>
                <w:sz w:val="24"/>
                <w:szCs w:val="24"/>
                <w:color w:val="auto"/>
              </w:rPr>
            </w:pPr>
          </w:p>
        </w:tc>
        <w:tc>
          <w:tcPr>
            <w:tcW w:w="47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1" w:name="page12"/>
    <w:bookmarkEnd w:id="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Richardson, Paul</w:t>
            </w:r>
          </w:p>
        </w:tc>
        <w:tc>
          <w:tcPr>
            <w:tcW w:w="1720" w:type="dxa"/>
            <w:vAlign w:val="bottom"/>
          </w:tcPr>
          <w:p>
            <w:pPr>
              <w:ind w:left="440"/>
              <w:spacing w:after="0"/>
              <w:rPr>
                <w:sz w:val="20"/>
                <w:szCs w:val="20"/>
                <w:color w:val="auto"/>
              </w:rPr>
            </w:pPr>
            <w:r>
              <w:rPr>
                <w:rFonts w:ascii="Arial" w:cs="Arial" w:eastAsia="Arial" w:hAnsi="Arial"/>
                <w:sz w:val="18"/>
                <w:szCs w:val="18"/>
                <w:color w:val="auto"/>
              </w:rPr>
              <w:t>Director</w:t>
            </w:r>
          </w:p>
        </w:tc>
        <w:tc>
          <w:tcPr>
            <w:tcW w:w="3160" w:type="dxa"/>
            <w:vAlign w:val="bottom"/>
          </w:tcPr>
          <w:p>
            <w:pPr>
              <w:ind w:left="360"/>
              <w:spacing w:after="0"/>
              <w:rPr>
                <w:sz w:val="20"/>
                <w:szCs w:val="20"/>
                <w:color w:val="auto"/>
              </w:rPr>
            </w:pPr>
            <w:r>
              <w:rPr>
                <w:rFonts w:ascii="Arial" w:cs="Arial" w:eastAsia="Arial" w:hAnsi="Arial"/>
                <w:sz w:val="18"/>
                <w:szCs w:val="18"/>
                <w:color w:val="auto"/>
              </w:rPr>
              <w:t>Group Finance Director</w:t>
            </w:r>
          </w:p>
        </w:tc>
        <w:tc>
          <w:tcPr>
            <w:tcW w:w="3900" w:type="dxa"/>
            <w:vAlign w:val="bottom"/>
          </w:tcPr>
          <w:p>
            <w:pPr>
              <w:ind w:left="120"/>
              <w:spacing w:after="0"/>
              <w:rPr>
                <w:sz w:val="20"/>
                <w:szCs w:val="20"/>
                <w:color w:val="auto"/>
              </w:rPr>
            </w:pPr>
            <w:r>
              <w:rPr>
                <w:rFonts w:ascii="Arial" w:cs="Arial" w:eastAsia="Arial" w:hAnsi="Arial"/>
                <w:sz w:val="18"/>
                <w:szCs w:val="18"/>
                <w:color w:val="auto"/>
                <w:w w:val="91"/>
              </w:rPr>
              <w:t>27 Farm Street, London, W1J 5RJ, United Kingdom</w:t>
            </w:r>
          </w:p>
        </w:tc>
      </w:tr>
      <w:tr>
        <w:trPr>
          <w:trHeight w:val="230"/>
        </w:trPr>
        <w:tc>
          <w:tcPr>
            <w:tcW w:w="1700" w:type="dxa"/>
            <w:vAlign w:val="bottom"/>
          </w:tcPr>
          <w:p>
            <w:pPr>
              <w:spacing w:after="0"/>
              <w:rPr>
                <w:sz w:val="20"/>
                <w:szCs w:val="20"/>
                <w:color w:val="auto"/>
              </w:rPr>
            </w:pPr>
            <w:r>
              <w:rPr>
                <w:rFonts w:ascii="Arial" w:cs="Arial" w:eastAsia="Arial" w:hAnsi="Arial"/>
                <w:sz w:val="18"/>
                <w:szCs w:val="18"/>
                <w:color w:val="auto"/>
              </w:rPr>
              <w:t>Great Britain, US</w:t>
            </w:r>
          </w:p>
        </w:tc>
        <w:tc>
          <w:tcPr>
            <w:tcW w:w="1720" w:type="dxa"/>
            <w:vAlign w:val="bottom"/>
          </w:tcPr>
          <w:p>
            <w:pPr>
              <w:spacing w:after="0"/>
              <w:rPr>
                <w:sz w:val="20"/>
                <w:szCs w:val="20"/>
                <w:color w:val="auto"/>
              </w:rPr>
            </w:pPr>
          </w:p>
        </w:tc>
        <w:tc>
          <w:tcPr>
            <w:tcW w:w="3160" w:type="dxa"/>
            <w:vAlign w:val="bottom"/>
          </w:tcPr>
          <w:p>
            <w:pPr>
              <w:ind w:left="360"/>
              <w:spacing w:after="0"/>
              <w:rPr>
                <w:sz w:val="20"/>
                <w:szCs w:val="20"/>
                <w:color w:val="auto"/>
              </w:rPr>
            </w:pPr>
            <w:r>
              <w:rPr>
                <w:rFonts w:ascii="Arial" w:cs="Arial" w:eastAsia="Arial" w:hAnsi="Arial"/>
                <w:sz w:val="18"/>
                <w:szCs w:val="18"/>
                <w:color w:val="auto"/>
              </w:rPr>
              <w:t>(WPP plc)</w:t>
            </w:r>
          </w:p>
        </w:tc>
        <w:tc>
          <w:tcPr>
            <w:tcW w:w="3900" w:type="dxa"/>
            <w:vAlign w:val="bottom"/>
          </w:tcPr>
          <w:p>
            <w:pPr>
              <w:spacing w:after="0"/>
              <w:rPr>
                <w:sz w:val="20"/>
                <w:szCs w:val="20"/>
                <w:color w:val="auto"/>
              </w:rPr>
            </w:pPr>
          </w:p>
        </w:tc>
      </w:tr>
      <w:tr>
        <w:trPr>
          <w:trHeight w:val="323"/>
        </w:trPr>
        <w:tc>
          <w:tcPr>
            <w:tcW w:w="1700" w:type="dxa"/>
            <w:vAlign w:val="bottom"/>
          </w:tcPr>
          <w:p>
            <w:pPr>
              <w:spacing w:after="0"/>
              <w:rPr>
                <w:sz w:val="20"/>
                <w:szCs w:val="20"/>
                <w:color w:val="auto"/>
              </w:rPr>
            </w:pPr>
            <w:r>
              <w:rPr>
                <w:rFonts w:ascii="Arial" w:cs="Arial" w:eastAsia="Arial" w:hAnsi="Arial"/>
                <w:sz w:val="18"/>
                <w:szCs w:val="18"/>
                <w:color w:val="auto"/>
              </w:rPr>
              <w:t>Quarta, Roberto</w:t>
            </w:r>
          </w:p>
        </w:tc>
        <w:tc>
          <w:tcPr>
            <w:tcW w:w="1720" w:type="dxa"/>
            <w:vAlign w:val="bottom"/>
          </w:tcPr>
          <w:p>
            <w:pPr>
              <w:ind w:left="440"/>
              <w:spacing w:after="0"/>
              <w:rPr>
                <w:sz w:val="20"/>
                <w:szCs w:val="20"/>
                <w:color w:val="auto"/>
              </w:rPr>
            </w:pPr>
            <w:r>
              <w:rPr>
                <w:rFonts w:ascii="Arial" w:cs="Arial" w:eastAsia="Arial" w:hAnsi="Arial"/>
                <w:sz w:val="18"/>
                <w:szCs w:val="18"/>
                <w:color w:val="auto"/>
              </w:rPr>
              <w:t>Director and</w:t>
            </w:r>
          </w:p>
        </w:tc>
        <w:tc>
          <w:tcPr>
            <w:tcW w:w="3160" w:type="dxa"/>
            <w:vAlign w:val="bottom"/>
          </w:tcPr>
          <w:p>
            <w:pPr>
              <w:ind w:left="360"/>
              <w:spacing w:after="0"/>
              <w:rPr>
                <w:sz w:val="20"/>
                <w:szCs w:val="20"/>
                <w:color w:val="auto"/>
              </w:rPr>
            </w:pPr>
            <w:r>
              <w:rPr>
                <w:rFonts w:ascii="Arial" w:cs="Arial" w:eastAsia="Arial" w:hAnsi="Arial"/>
                <w:sz w:val="18"/>
                <w:szCs w:val="18"/>
                <w:color w:val="auto"/>
              </w:rPr>
              <w:t>Partner (Clayton, Dubilier &amp;</w:t>
            </w:r>
          </w:p>
        </w:tc>
        <w:tc>
          <w:tcPr>
            <w:tcW w:w="3900" w:type="dxa"/>
            <w:vAlign w:val="bottom"/>
          </w:tcPr>
          <w:p>
            <w:pPr>
              <w:ind w:left="120"/>
              <w:spacing w:after="0"/>
              <w:rPr>
                <w:sz w:val="20"/>
                <w:szCs w:val="20"/>
                <w:color w:val="auto"/>
              </w:rPr>
            </w:pPr>
            <w:r>
              <w:rPr>
                <w:rFonts w:ascii="Arial" w:cs="Arial" w:eastAsia="Arial" w:hAnsi="Arial"/>
                <w:sz w:val="18"/>
                <w:szCs w:val="18"/>
                <w:color w:val="auto"/>
                <w:w w:val="91"/>
              </w:rPr>
              <w:t>27 Farm Street, London, W1J 5RJ, United Kingdom</w:t>
            </w:r>
          </w:p>
        </w:tc>
      </w:tr>
      <w:tr>
        <w:trPr>
          <w:trHeight w:val="230"/>
        </w:trPr>
        <w:tc>
          <w:tcPr>
            <w:tcW w:w="1700" w:type="dxa"/>
            <w:vAlign w:val="bottom"/>
          </w:tcPr>
          <w:p>
            <w:pPr>
              <w:spacing w:after="0"/>
              <w:rPr>
                <w:sz w:val="20"/>
                <w:szCs w:val="20"/>
                <w:color w:val="auto"/>
              </w:rPr>
            </w:pPr>
            <w:r>
              <w:rPr>
                <w:rFonts w:ascii="Arial" w:cs="Arial" w:eastAsia="Arial" w:hAnsi="Arial"/>
                <w:sz w:val="18"/>
                <w:szCs w:val="18"/>
                <w:color w:val="auto"/>
              </w:rPr>
              <w:t>Italy, US</w:t>
            </w:r>
          </w:p>
        </w:tc>
        <w:tc>
          <w:tcPr>
            <w:tcW w:w="1720" w:type="dxa"/>
            <w:vAlign w:val="bottom"/>
          </w:tcPr>
          <w:p>
            <w:pPr>
              <w:ind w:left="440"/>
              <w:spacing w:after="0"/>
              <w:rPr>
                <w:sz w:val="20"/>
                <w:szCs w:val="20"/>
                <w:color w:val="auto"/>
              </w:rPr>
            </w:pPr>
            <w:r>
              <w:rPr>
                <w:rFonts w:ascii="Arial" w:cs="Arial" w:eastAsia="Arial" w:hAnsi="Arial"/>
                <w:sz w:val="18"/>
                <w:szCs w:val="18"/>
                <w:color w:val="auto"/>
              </w:rPr>
              <w:t>Chairman</w:t>
            </w:r>
          </w:p>
        </w:tc>
        <w:tc>
          <w:tcPr>
            <w:tcW w:w="3160" w:type="dxa"/>
            <w:vAlign w:val="bottom"/>
          </w:tcPr>
          <w:p>
            <w:pPr>
              <w:ind w:left="360"/>
              <w:spacing w:after="0"/>
              <w:rPr>
                <w:sz w:val="20"/>
                <w:szCs w:val="20"/>
                <w:color w:val="auto"/>
              </w:rPr>
            </w:pPr>
            <w:r>
              <w:rPr>
                <w:rFonts w:ascii="Arial" w:cs="Arial" w:eastAsia="Arial" w:hAnsi="Arial"/>
                <w:sz w:val="18"/>
                <w:szCs w:val="18"/>
                <w:color w:val="auto"/>
              </w:rPr>
              <w:t>Rice)</w:t>
            </w:r>
          </w:p>
        </w:tc>
        <w:tc>
          <w:tcPr>
            <w:tcW w:w="3900" w:type="dxa"/>
            <w:vAlign w:val="bottom"/>
          </w:tcPr>
          <w:p>
            <w:pPr>
              <w:spacing w:after="0"/>
              <w:rPr>
                <w:sz w:val="20"/>
                <w:szCs w:val="20"/>
                <w:color w:val="auto"/>
              </w:rPr>
            </w:pPr>
          </w:p>
        </w:tc>
      </w:tr>
      <w:tr>
        <w:trPr>
          <w:trHeight w:val="32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160" w:type="dxa"/>
            <w:vAlign w:val="bottom"/>
          </w:tcPr>
          <w:p>
            <w:pPr>
              <w:ind w:left="360"/>
              <w:spacing w:after="0"/>
              <w:rPr>
                <w:sz w:val="20"/>
                <w:szCs w:val="20"/>
                <w:color w:val="auto"/>
              </w:rPr>
            </w:pPr>
            <w:r>
              <w:rPr>
                <w:rFonts w:ascii="Arial" w:cs="Arial" w:eastAsia="Arial" w:hAnsi="Arial"/>
                <w:sz w:val="18"/>
                <w:szCs w:val="18"/>
                <w:color w:val="auto"/>
              </w:rPr>
              <w:t>Non-Executive Chairman</w:t>
            </w:r>
          </w:p>
        </w:tc>
        <w:tc>
          <w:tcPr>
            <w:tcW w:w="3900" w:type="dxa"/>
            <w:vAlign w:val="bottom"/>
          </w:tcPr>
          <w:p>
            <w:pPr>
              <w:spacing w:after="0"/>
              <w:rPr>
                <w:sz w:val="24"/>
                <w:szCs w:val="24"/>
                <w:color w:val="auto"/>
              </w:rPr>
            </w:pPr>
          </w:p>
        </w:tc>
      </w:tr>
      <w:tr>
        <w:trPr>
          <w:trHeight w:val="230"/>
        </w:trPr>
        <w:tc>
          <w:tcPr>
            <w:tcW w:w="17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160" w:type="dxa"/>
            <w:vAlign w:val="bottom"/>
          </w:tcPr>
          <w:p>
            <w:pPr>
              <w:ind w:left="360"/>
              <w:spacing w:after="0"/>
              <w:rPr>
                <w:sz w:val="20"/>
                <w:szCs w:val="20"/>
                <w:color w:val="auto"/>
              </w:rPr>
            </w:pPr>
            <w:r>
              <w:rPr>
                <w:rFonts w:ascii="Arial" w:cs="Arial" w:eastAsia="Arial" w:hAnsi="Arial"/>
                <w:sz w:val="18"/>
                <w:szCs w:val="18"/>
                <w:color w:val="auto"/>
              </w:rPr>
              <w:t>(Smith &amp; Nephew plc)</w:t>
            </w:r>
          </w:p>
        </w:tc>
        <w:tc>
          <w:tcPr>
            <w:tcW w:w="3900" w:type="dxa"/>
            <w:vAlign w:val="bottom"/>
          </w:tcPr>
          <w:p>
            <w:pPr>
              <w:spacing w:after="0"/>
              <w:rPr>
                <w:sz w:val="20"/>
                <w:szCs w:val="20"/>
                <w:color w:val="auto"/>
              </w:rPr>
            </w:pPr>
          </w:p>
        </w:tc>
      </w:tr>
      <w:tr>
        <w:trPr>
          <w:trHeight w:val="32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160" w:type="dxa"/>
            <w:vAlign w:val="bottom"/>
          </w:tcPr>
          <w:p>
            <w:pPr>
              <w:ind w:left="360"/>
              <w:spacing w:after="0"/>
              <w:rPr>
                <w:sz w:val="20"/>
                <w:szCs w:val="20"/>
                <w:color w:val="auto"/>
              </w:rPr>
            </w:pPr>
            <w:r>
              <w:rPr>
                <w:rFonts w:ascii="Arial" w:cs="Arial" w:eastAsia="Arial" w:hAnsi="Arial"/>
                <w:sz w:val="18"/>
                <w:szCs w:val="18"/>
                <w:color w:val="auto"/>
              </w:rPr>
              <w:t>Non-Executive Chairman (WPP</w:t>
            </w:r>
          </w:p>
        </w:tc>
        <w:tc>
          <w:tcPr>
            <w:tcW w:w="3900" w:type="dxa"/>
            <w:vAlign w:val="bottom"/>
          </w:tcPr>
          <w:p>
            <w:pPr>
              <w:spacing w:after="0"/>
              <w:rPr>
                <w:sz w:val="24"/>
                <w:szCs w:val="24"/>
                <w:color w:val="auto"/>
              </w:rPr>
            </w:pPr>
          </w:p>
        </w:tc>
      </w:tr>
      <w:tr>
        <w:trPr>
          <w:trHeight w:val="230"/>
        </w:trPr>
        <w:tc>
          <w:tcPr>
            <w:tcW w:w="17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160" w:type="dxa"/>
            <w:vAlign w:val="bottom"/>
          </w:tcPr>
          <w:p>
            <w:pPr>
              <w:ind w:left="360"/>
              <w:spacing w:after="0"/>
              <w:rPr>
                <w:sz w:val="20"/>
                <w:szCs w:val="20"/>
                <w:color w:val="auto"/>
              </w:rPr>
            </w:pPr>
            <w:r>
              <w:rPr>
                <w:rFonts w:ascii="Arial" w:cs="Arial" w:eastAsia="Arial" w:hAnsi="Arial"/>
                <w:sz w:val="18"/>
                <w:szCs w:val="18"/>
                <w:color w:val="auto"/>
              </w:rPr>
              <w:t>plc)</w:t>
            </w:r>
          </w:p>
        </w:tc>
        <w:tc>
          <w:tcPr>
            <w:tcW w:w="3900" w:type="dxa"/>
            <w:vAlign w:val="bottom"/>
          </w:tcPr>
          <w:p>
            <w:pPr>
              <w:spacing w:after="0"/>
              <w:rPr>
                <w:sz w:val="20"/>
                <w:szCs w:val="20"/>
                <w:color w:val="auto"/>
              </w:rPr>
            </w:pPr>
          </w:p>
        </w:tc>
      </w:tr>
      <w:tr>
        <w:trPr>
          <w:trHeight w:val="310"/>
        </w:trPr>
        <w:tc>
          <w:tcPr>
            <w:tcW w:w="1700" w:type="dxa"/>
            <w:vAlign w:val="bottom"/>
          </w:tcPr>
          <w:p>
            <w:pPr>
              <w:spacing w:after="0"/>
              <w:rPr>
                <w:sz w:val="20"/>
                <w:szCs w:val="20"/>
                <w:color w:val="auto"/>
              </w:rPr>
            </w:pPr>
            <w:r>
              <w:rPr>
                <w:rFonts w:ascii="Arial" w:cs="Arial" w:eastAsia="Arial" w:hAnsi="Arial"/>
                <w:sz w:val="18"/>
                <w:szCs w:val="18"/>
                <w:color w:val="auto"/>
              </w:rPr>
              <w:t>Agnelli, Roger</w:t>
            </w:r>
          </w:p>
        </w:tc>
        <w:tc>
          <w:tcPr>
            <w:tcW w:w="1720" w:type="dxa"/>
            <w:vAlign w:val="bottom"/>
          </w:tcPr>
          <w:p>
            <w:pPr>
              <w:ind w:left="440"/>
              <w:spacing w:after="0"/>
              <w:rPr>
                <w:sz w:val="20"/>
                <w:szCs w:val="20"/>
                <w:color w:val="auto"/>
              </w:rPr>
            </w:pPr>
            <w:r>
              <w:rPr>
                <w:rFonts w:ascii="Arial" w:cs="Arial" w:eastAsia="Arial" w:hAnsi="Arial"/>
                <w:sz w:val="18"/>
                <w:szCs w:val="18"/>
                <w:color w:val="auto"/>
              </w:rPr>
              <w:t>Director</w:t>
            </w:r>
          </w:p>
        </w:tc>
        <w:tc>
          <w:tcPr>
            <w:tcW w:w="3160" w:type="dxa"/>
            <w:vAlign w:val="bottom"/>
          </w:tcPr>
          <w:p>
            <w:pPr>
              <w:ind w:left="360"/>
              <w:spacing w:after="0"/>
              <w:rPr>
                <w:sz w:val="20"/>
                <w:szCs w:val="20"/>
                <w:color w:val="auto"/>
              </w:rPr>
            </w:pPr>
            <w:r>
              <w:rPr>
                <w:rFonts w:ascii="Arial" w:cs="Arial" w:eastAsia="Arial" w:hAnsi="Arial"/>
                <w:sz w:val="18"/>
                <w:szCs w:val="18"/>
                <w:color w:val="auto"/>
              </w:rPr>
              <w:t>Founding Partner &amp; CEO</w:t>
            </w:r>
          </w:p>
        </w:tc>
        <w:tc>
          <w:tcPr>
            <w:tcW w:w="3900" w:type="dxa"/>
            <w:vAlign w:val="bottom"/>
          </w:tcPr>
          <w:p>
            <w:pPr>
              <w:ind w:left="120"/>
              <w:spacing w:after="0"/>
              <w:rPr>
                <w:sz w:val="20"/>
                <w:szCs w:val="20"/>
                <w:color w:val="auto"/>
              </w:rPr>
            </w:pPr>
            <w:r>
              <w:rPr>
                <w:rFonts w:ascii="Arial" w:cs="Arial" w:eastAsia="Arial" w:hAnsi="Arial"/>
                <w:sz w:val="18"/>
                <w:szCs w:val="18"/>
                <w:color w:val="auto"/>
                <w:w w:val="91"/>
              </w:rPr>
              <w:t>27 Farm Street, London, W1J 5RJ, United Kingdom</w:t>
            </w:r>
          </w:p>
        </w:tc>
      </w:tr>
      <w:tr>
        <w:trPr>
          <w:trHeight w:val="230"/>
        </w:trPr>
        <w:tc>
          <w:tcPr>
            <w:tcW w:w="1700" w:type="dxa"/>
            <w:vAlign w:val="bottom"/>
          </w:tcPr>
          <w:p>
            <w:pPr>
              <w:spacing w:after="0"/>
              <w:rPr>
                <w:sz w:val="20"/>
                <w:szCs w:val="20"/>
                <w:color w:val="auto"/>
              </w:rPr>
            </w:pPr>
            <w:r>
              <w:rPr>
                <w:rFonts w:ascii="Arial" w:cs="Arial" w:eastAsia="Arial" w:hAnsi="Arial"/>
                <w:sz w:val="18"/>
                <w:szCs w:val="18"/>
                <w:color w:val="auto"/>
              </w:rPr>
              <w:t>Brazil</w:t>
            </w:r>
          </w:p>
        </w:tc>
        <w:tc>
          <w:tcPr>
            <w:tcW w:w="1720" w:type="dxa"/>
            <w:vAlign w:val="bottom"/>
          </w:tcPr>
          <w:p>
            <w:pPr>
              <w:spacing w:after="0"/>
              <w:rPr>
                <w:sz w:val="20"/>
                <w:szCs w:val="20"/>
                <w:color w:val="auto"/>
              </w:rPr>
            </w:pPr>
          </w:p>
        </w:tc>
        <w:tc>
          <w:tcPr>
            <w:tcW w:w="3160" w:type="dxa"/>
            <w:vAlign w:val="bottom"/>
          </w:tcPr>
          <w:p>
            <w:pPr>
              <w:ind w:left="360"/>
              <w:spacing w:after="0"/>
              <w:rPr>
                <w:sz w:val="20"/>
                <w:szCs w:val="20"/>
                <w:color w:val="auto"/>
              </w:rPr>
            </w:pPr>
            <w:r>
              <w:rPr>
                <w:rFonts w:ascii="Arial" w:cs="Arial" w:eastAsia="Arial" w:hAnsi="Arial"/>
                <w:sz w:val="18"/>
                <w:szCs w:val="18"/>
                <w:color w:val="auto"/>
              </w:rPr>
              <w:t>(AGN Holding)</w:t>
            </w:r>
          </w:p>
        </w:tc>
        <w:tc>
          <w:tcPr>
            <w:tcW w:w="3900" w:type="dxa"/>
            <w:vAlign w:val="bottom"/>
          </w:tcPr>
          <w:p>
            <w:pPr>
              <w:spacing w:after="0"/>
              <w:rPr>
                <w:sz w:val="20"/>
                <w:szCs w:val="20"/>
                <w:color w:val="auto"/>
              </w:rPr>
            </w:pPr>
          </w:p>
        </w:tc>
      </w:tr>
      <w:tr>
        <w:trPr>
          <w:trHeight w:val="32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160" w:type="dxa"/>
            <w:vAlign w:val="bottom"/>
          </w:tcPr>
          <w:p>
            <w:pPr>
              <w:ind w:left="360"/>
              <w:spacing w:after="0"/>
              <w:rPr>
                <w:sz w:val="20"/>
                <w:szCs w:val="20"/>
                <w:color w:val="auto"/>
              </w:rPr>
            </w:pPr>
            <w:r>
              <w:rPr>
                <w:rFonts w:ascii="Arial" w:cs="Arial" w:eastAsia="Arial" w:hAnsi="Arial"/>
                <w:sz w:val="18"/>
                <w:szCs w:val="18"/>
                <w:color w:val="auto"/>
              </w:rPr>
              <w:t>Non-Executive Chairman</w:t>
            </w:r>
          </w:p>
        </w:tc>
        <w:tc>
          <w:tcPr>
            <w:tcW w:w="3900" w:type="dxa"/>
            <w:vAlign w:val="bottom"/>
          </w:tcPr>
          <w:p>
            <w:pPr>
              <w:spacing w:after="0"/>
              <w:rPr>
                <w:sz w:val="24"/>
                <w:szCs w:val="24"/>
                <w:color w:val="auto"/>
              </w:rPr>
            </w:pPr>
          </w:p>
        </w:tc>
      </w:tr>
      <w:tr>
        <w:trPr>
          <w:trHeight w:val="230"/>
        </w:trPr>
        <w:tc>
          <w:tcPr>
            <w:tcW w:w="17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160" w:type="dxa"/>
            <w:vAlign w:val="bottom"/>
          </w:tcPr>
          <w:p>
            <w:pPr>
              <w:ind w:left="360"/>
              <w:spacing w:after="0"/>
              <w:rPr>
                <w:sz w:val="20"/>
                <w:szCs w:val="20"/>
                <w:color w:val="auto"/>
              </w:rPr>
            </w:pPr>
            <w:r>
              <w:rPr>
                <w:rFonts w:ascii="Arial" w:cs="Arial" w:eastAsia="Arial" w:hAnsi="Arial"/>
                <w:sz w:val="18"/>
                <w:szCs w:val="18"/>
                <w:color w:val="auto"/>
              </w:rPr>
              <w:t>(B&amp;A Mineracão S.A.)</w:t>
            </w:r>
          </w:p>
        </w:tc>
        <w:tc>
          <w:tcPr>
            <w:tcW w:w="3900" w:type="dxa"/>
            <w:vAlign w:val="bottom"/>
          </w:tcPr>
          <w:p>
            <w:pPr>
              <w:spacing w:after="0"/>
              <w:rPr>
                <w:sz w:val="20"/>
                <w:szCs w:val="20"/>
                <w:color w:val="auto"/>
              </w:rPr>
            </w:pPr>
          </w:p>
        </w:tc>
      </w:tr>
      <w:tr>
        <w:trPr>
          <w:trHeight w:val="32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160" w:type="dxa"/>
            <w:vAlign w:val="bottom"/>
          </w:tcPr>
          <w:p>
            <w:pPr>
              <w:ind w:left="360"/>
              <w:spacing w:after="0"/>
              <w:rPr>
                <w:sz w:val="20"/>
                <w:szCs w:val="20"/>
                <w:color w:val="auto"/>
              </w:rPr>
            </w:pPr>
            <w:r>
              <w:rPr>
                <w:rFonts w:ascii="Arial" w:cs="Arial" w:eastAsia="Arial" w:hAnsi="Arial"/>
                <w:sz w:val="18"/>
                <w:szCs w:val="18"/>
                <w:color w:val="auto"/>
              </w:rPr>
              <w:t>Non-Executive Director (ABB</w:t>
            </w:r>
          </w:p>
        </w:tc>
        <w:tc>
          <w:tcPr>
            <w:tcW w:w="3900" w:type="dxa"/>
            <w:vAlign w:val="bottom"/>
          </w:tcPr>
          <w:p>
            <w:pPr>
              <w:spacing w:after="0"/>
              <w:rPr>
                <w:sz w:val="24"/>
                <w:szCs w:val="24"/>
                <w:color w:val="auto"/>
              </w:rPr>
            </w:pPr>
          </w:p>
        </w:tc>
      </w:tr>
      <w:tr>
        <w:trPr>
          <w:trHeight w:val="230"/>
        </w:trPr>
        <w:tc>
          <w:tcPr>
            <w:tcW w:w="17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160" w:type="dxa"/>
            <w:vAlign w:val="bottom"/>
          </w:tcPr>
          <w:p>
            <w:pPr>
              <w:ind w:left="360"/>
              <w:spacing w:after="0"/>
              <w:rPr>
                <w:sz w:val="20"/>
                <w:szCs w:val="20"/>
                <w:color w:val="auto"/>
              </w:rPr>
            </w:pPr>
            <w:r>
              <w:rPr>
                <w:rFonts w:ascii="Arial" w:cs="Arial" w:eastAsia="Arial" w:hAnsi="Arial"/>
                <w:sz w:val="18"/>
                <w:szCs w:val="18"/>
                <w:color w:val="auto"/>
              </w:rPr>
              <w:t>Ltd)</w:t>
            </w:r>
          </w:p>
        </w:tc>
        <w:tc>
          <w:tcPr>
            <w:tcW w:w="3900" w:type="dxa"/>
            <w:vAlign w:val="bottom"/>
          </w:tcPr>
          <w:p>
            <w:pPr>
              <w:spacing w:after="0"/>
              <w:rPr>
                <w:sz w:val="20"/>
                <w:szCs w:val="20"/>
                <w:color w:val="auto"/>
              </w:rPr>
            </w:pPr>
          </w:p>
        </w:tc>
      </w:tr>
      <w:tr>
        <w:trPr>
          <w:trHeight w:val="310"/>
        </w:trPr>
        <w:tc>
          <w:tcPr>
            <w:tcW w:w="1700" w:type="dxa"/>
            <w:vAlign w:val="bottom"/>
          </w:tcPr>
          <w:p>
            <w:pPr>
              <w:spacing w:after="0"/>
              <w:rPr>
                <w:sz w:val="20"/>
                <w:szCs w:val="20"/>
                <w:color w:val="auto"/>
              </w:rPr>
            </w:pPr>
            <w:r>
              <w:rPr>
                <w:rFonts w:ascii="Arial" w:cs="Arial" w:eastAsia="Arial" w:hAnsi="Arial"/>
                <w:sz w:val="18"/>
                <w:szCs w:val="18"/>
                <w:color w:val="auto"/>
              </w:rPr>
              <w:t>Aigrain, Jacques</w:t>
            </w:r>
          </w:p>
        </w:tc>
        <w:tc>
          <w:tcPr>
            <w:tcW w:w="1720" w:type="dxa"/>
            <w:vAlign w:val="bottom"/>
          </w:tcPr>
          <w:p>
            <w:pPr>
              <w:ind w:left="440"/>
              <w:spacing w:after="0"/>
              <w:rPr>
                <w:sz w:val="20"/>
                <w:szCs w:val="20"/>
                <w:color w:val="auto"/>
              </w:rPr>
            </w:pPr>
            <w:r>
              <w:rPr>
                <w:rFonts w:ascii="Arial" w:cs="Arial" w:eastAsia="Arial" w:hAnsi="Arial"/>
                <w:sz w:val="18"/>
                <w:szCs w:val="18"/>
                <w:color w:val="auto"/>
              </w:rPr>
              <w:t>Director</w:t>
            </w:r>
          </w:p>
        </w:tc>
        <w:tc>
          <w:tcPr>
            <w:tcW w:w="3160" w:type="dxa"/>
            <w:vAlign w:val="bottom"/>
          </w:tcPr>
          <w:p>
            <w:pPr>
              <w:ind w:left="360"/>
              <w:spacing w:after="0"/>
              <w:rPr>
                <w:sz w:val="20"/>
                <w:szCs w:val="20"/>
                <w:color w:val="auto"/>
              </w:rPr>
            </w:pPr>
            <w:r>
              <w:rPr>
                <w:rFonts w:ascii="Arial" w:cs="Arial" w:eastAsia="Arial" w:hAnsi="Arial"/>
                <w:sz w:val="18"/>
                <w:szCs w:val="18"/>
                <w:color w:val="auto"/>
              </w:rPr>
              <w:t>Partner (Warburg Pincus</w:t>
            </w:r>
          </w:p>
        </w:tc>
        <w:tc>
          <w:tcPr>
            <w:tcW w:w="3900" w:type="dxa"/>
            <w:vAlign w:val="bottom"/>
          </w:tcPr>
          <w:p>
            <w:pPr>
              <w:ind w:left="120"/>
              <w:spacing w:after="0"/>
              <w:rPr>
                <w:sz w:val="20"/>
                <w:szCs w:val="20"/>
                <w:color w:val="auto"/>
              </w:rPr>
            </w:pPr>
            <w:r>
              <w:rPr>
                <w:rFonts w:ascii="Arial" w:cs="Arial" w:eastAsia="Arial" w:hAnsi="Arial"/>
                <w:sz w:val="18"/>
                <w:szCs w:val="18"/>
                <w:color w:val="auto"/>
                <w:w w:val="91"/>
              </w:rPr>
              <w:t>27 Farm Street, London, W1J 5RJ, United Kingdom</w:t>
            </w:r>
          </w:p>
        </w:tc>
      </w:tr>
      <w:tr>
        <w:trPr>
          <w:trHeight w:val="230"/>
        </w:trPr>
        <w:tc>
          <w:tcPr>
            <w:tcW w:w="1700" w:type="dxa"/>
            <w:vAlign w:val="bottom"/>
          </w:tcPr>
          <w:p>
            <w:pPr>
              <w:spacing w:after="0"/>
              <w:rPr>
                <w:sz w:val="20"/>
                <w:szCs w:val="20"/>
                <w:color w:val="auto"/>
              </w:rPr>
            </w:pPr>
            <w:r>
              <w:rPr>
                <w:rFonts w:ascii="Arial" w:cs="Arial" w:eastAsia="Arial" w:hAnsi="Arial"/>
                <w:sz w:val="18"/>
                <w:szCs w:val="18"/>
                <w:color w:val="auto"/>
              </w:rPr>
              <w:t>Switzerland</w:t>
            </w:r>
          </w:p>
        </w:tc>
        <w:tc>
          <w:tcPr>
            <w:tcW w:w="1720" w:type="dxa"/>
            <w:vAlign w:val="bottom"/>
          </w:tcPr>
          <w:p>
            <w:pPr>
              <w:spacing w:after="0"/>
              <w:rPr>
                <w:sz w:val="20"/>
                <w:szCs w:val="20"/>
                <w:color w:val="auto"/>
              </w:rPr>
            </w:pPr>
          </w:p>
        </w:tc>
        <w:tc>
          <w:tcPr>
            <w:tcW w:w="3160" w:type="dxa"/>
            <w:vAlign w:val="bottom"/>
          </w:tcPr>
          <w:p>
            <w:pPr>
              <w:ind w:left="360"/>
              <w:spacing w:after="0"/>
              <w:rPr>
                <w:sz w:val="20"/>
                <w:szCs w:val="20"/>
                <w:color w:val="auto"/>
              </w:rPr>
            </w:pPr>
            <w:r>
              <w:rPr>
                <w:rFonts w:ascii="Arial" w:cs="Arial" w:eastAsia="Arial" w:hAnsi="Arial"/>
                <w:sz w:val="18"/>
                <w:szCs w:val="18"/>
                <w:color w:val="auto"/>
              </w:rPr>
              <w:t>International LLC)</w:t>
            </w:r>
          </w:p>
        </w:tc>
        <w:tc>
          <w:tcPr>
            <w:tcW w:w="3900" w:type="dxa"/>
            <w:vAlign w:val="bottom"/>
          </w:tcPr>
          <w:p>
            <w:pPr>
              <w:spacing w:after="0"/>
              <w:rPr>
                <w:sz w:val="20"/>
                <w:szCs w:val="20"/>
                <w:color w:val="auto"/>
              </w:rPr>
            </w:pPr>
          </w:p>
        </w:tc>
      </w:tr>
      <w:tr>
        <w:trPr>
          <w:trHeight w:val="32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160" w:type="dxa"/>
            <w:vAlign w:val="bottom"/>
          </w:tcPr>
          <w:p>
            <w:pPr>
              <w:ind w:left="360"/>
              <w:spacing w:after="0"/>
              <w:rPr>
                <w:sz w:val="20"/>
                <w:szCs w:val="20"/>
                <w:color w:val="auto"/>
              </w:rPr>
            </w:pPr>
            <w:r>
              <w:rPr>
                <w:rFonts w:ascii="Arial" w:cs="Arial" w:eastAsia="Arial" w:hAnsi="Arial"/>
                <w:sz w:val="18"/>
                <w:szCs w:val="18"/>
                <w:color w:val="auto"/>
              </w:rPr>
              <w:t>Non-Executive Director (London</w:t>
            </w:r>
          </w:p>
        </w:tc>
        <w:tc>
          <w:tcPr>
            <w:tcW w:w="3900" w:type="dxa"/>
            <w:vAlign w:val="bottom"/>
          </w:tcPr>
          <w:p>
            <w:pPr>
              <w:spacing w:after="0"/>
              <w:rPr>
                <w:sz w:val="24"/>
                <w:szCs w:val="24"/>
                <w:color w:val="auto"/>
              </w:rPr>
            </w:pPr>
          </w:p>
        </w:tc>
      </w:tr>
      <w:tr>
        <w:trPr>
          <w:trHeight w:val="230"/>
        </w:trPr>
        <w:tc>
          <w:tcPr>
            <w:tcW w:w="17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160" w:type="dxa"/>
            <w:vAlign w:val="bottom"/>
          </w:tcPr>
          <w:p>
            <w:pPr>
              <w:ind w:left="360"/>
              <w:spacing w:after="0"/>
              <w:rPr>
                <w:sz w:val="20"/>
                <w:szCs w:val="20"/>
                <w:color w:val="auto"/>
              </w:rPr>
            </w:pPr>
            <w:r>
              <w:rPr>
                <w:rFonts w:ascii="Arial" w:cs="Arial" w:eastAsia="Arial" w:hAnsi="Arial"/>
                <w:sz w:val="18"/>
                <w:szCs w:val="18"/>
                <w:color w:val="auto"/>
              </w:rPr>
              <w:t>Stock Exchange Group plc)</w:t>
            </w:r>
          </w:p>
        </w:tc>
        <w:tc>
          <w:tcPr>
            <w:tcW w:w="3900" w:type="dxa"/>
            <w:vAlign w:val="bottom"/>
          </w:tcPr>
          <w:p>
            <w:pPr>
              <w:spacing w:after="0"/>
              <w:rPr>
                <w:sz w:val="20"/>
                <w:szCs w:val="20"/>
                <w:color w:val="auto"/>
              </w:rPr>
            </w:pPr>
          </w:p>
        </w:tc>
      </w:tr>
      <w:tr>
        <w:trPr>
          <w:trHeight w:val="310"/>
        </w:trPr>
        <w:tc>
          <w:tcPr>
            <w:tcW w:w="1700" w:type="dxa"/>
            <w:vAlign w:val="bottom"/>
          </w:tcPr>
          <w:p>
            <w:pPr>
              <w:spacing w:after="0"/>
              <w:rPr>
                <w:sz w:val="20"/>
                <w:szCs w:val="20"/>
                <w:color w:val="auto"/>
              </w:rPr>
            </w:pPr>
            <w:r>
              <w:rPr>
                <w:rFonts w:ascii="Arial" w:cs="Arial" w:eastAsia="Arial" w:hAnsi="Arial"/>
                <w:sz w:val="18"/>
                <w:szCs w:val="18"/>
                <w:color w:val="auto"/>
              </w:rPr>
              <w:t>Begley, Charlene</w:t>
            </w:r>
          </w:p>
        </w:tc>
        <w:tc>
          <w:tcPr>
            <w:tcW w:w="1720" w:type="dxa"/>
            <w:vAlign w:val="bottom"/>
          </w:tcPr>
          <w:p>
            <w:pPr>
              <w:ind w:left="440"/>
              <w:spacing w:after="0"/>
              <w:rPr>
                <w:sz w:val="20"/>
                <w:szCs w:val="20"/>
                <w:color w:val="auto"/>
              </w:rPr>
            </w:pPr>
            <w:r>
              <w:rPr>
                <w:rFonts w:ascii="Arial" w:cs="Arial" w:eastAsia="Arial" w:hAnsi="Arial"/>
                <w:sz w:val="18"/>
                <w:szCs w:val="18"/>
                <w:color w:val="auto"/>
              </w:rPr>
              <w:t>Director</w:t>
            </w:r>
          </w:p>
        </w:tc>
        <w:tc>
          <w:tcPr>
            <w:tcW w:w="3160" w:type="dxa"/>
            <w:vAlign w:val="bottom"/>
          </w:tcPr>
          <w:p>
            <w:pPr>
              <w:ind w:left="360"/>
              <w:spacing w:after="0"/>
              <w:rPr>
                <w:sz w:val="20"/>
                <w:szCs w:val="20"/>
                <w:color w:val="auto"/>
              </w:rPr>
            </w:pPr>
            <w:r>
              <w:rPr>
                <w:rFonts w:ascii="Arial" w:cs="Arial" w:eastAsia="Arial" w:hAnsi="Arial"/>
                <w:sz w:val="18"/>
                <w:szCs w:val="18"/>
                <w:color w:val="auto"/>
              </w:rPr>
              <w:t>Non-Executive Director</w:t>
            </w:r>
          </w:p>
        </w:tc>
        <w:tc>
          <w:tcPr>
            <w:tcW w:w="3900" w:type="dxa"/>
            <w:vAlign w:val="bottom"/>
          </w:tcPr>
          <w:p>
            <w:pPr>
              <w:ind w:left="120"/>
              <w:spacing w:after="0"/>
              <w:rPr>
                <w:sz w:val="20"/>
                <w:szCs w:val="20"/>
                <w:color w:val="auto"/>
              </w:rPr>
            </w:pPr>
            <w:r>
              <w:rPr>
                <w:rFonts w:ascii="Arial" w:cs="Arial" w:eastAsia="Arial" w:hAnsi="Arial"/>
                <w:sz w:val="18"/>
                <w:szCs w:val="18"/>
                <w:color w:val="auto"/>
                <w:w w:val="91"/>
              </w:rPr>
              <w:t>27 Farm Street, London, W1J 5RJ, United Kingdom</w:t>
            </w:r>
          </w:p>
        </w:tc>
      </w:tr>
      <w:tr>
        <w:trPr>
          <w:trHeight w:val="230"/>
        </w:trPr>
        <w:tc>
          <w:tcPr>
            <w:tcW w:w="1700" w:type="dxa"/>
            <w:vAlign w:val="bottom"/>
          </w:tcPr>
          <w:p>
            <w:pPr>
              <w:spacing w:after="0"/>
              <w:rPr>
                <w:sz w:val="20"/>
                <w:szCs w:val="20"/>
                <w:color w:val="auto"/>
              </w:rPr>
            </w:pPr>
            <w:r>
              <w:rPr>
                <w:rFonts w:ascii="Arial" w:cs="Arial" w:eastAsia="Arial" w:hAnsi="Arial"/>
                <w:sz w:val="18"/>
                <w:szCs w:val="18"/>
                <w:color w:val="auto"/>
              </w:rPr>
              <w:t>US</w:t>
            </w:r>
          </w:p>
        </w:tc>
        <w:tc>
          <w:tcPr>
            <w:tcW w:w="1720" w:type="dxa"/>
            <w:vAlign w:val="bottom"/>
          </w:tcPr>
          <w:p>
            <w:pPr>
              <w:spacing w:after="0"/>
              <w:rPr>
                <w:sz w:val="20"/>
                <w:szCs w:val="20"/>
                <w:color w:val="auto"/>
              </w:rPr>
            </w:pPr>
          </w:p>
        </w:tc>
        <w:tc>
          <w:tcPr>
            <w:tcW w:w="3160" w:type="dxa"/>
            <w:vAlign w:val="bottom"/>
          </w:tcPr>
          <w:p>
            <w:pPr>
              <w:ind w:left="360"/>
              <w:spacing w:after="0"/>
              <w:rPr>
                <w:sz w:val="20"/>
                <w:szCs w:val="20"/>
                <w:color w:val="auto"/>
              </w:rPr>
            </w:pPr>
            <w:r>
              <w:rPr>
                <w:rFonts w:ascii="Arial" w:cs="Arial" w:eastAsia="Arial" w:hAnsi="Arial"/>
                <w:sz w:val="18"/>
                <w:szCs w:val="18"/>
                <w:color w:val="auto"/>
              </w:rPr>
              <w:t>(NASDAQ OMX)</w:t>
            </w:r>
          </w:p>
        </w:tc>
        <w:tc>
          <w:tcPr>
            <w:tcW w:w="3900" w:type="dxa"/>
            <w:vAlign w:val="bottom"/>
          </w:tcPr>
          <w:p>
            <w:pPr>
              <w:spacing w:after="0"/>
              <w:rPr>
                <w:sz w:val="20"/>
                <w:szCs w:val="20"/>
                <w:color w:val="auto"/>
              </w:rPr>
            </w:pPr>
          </w:p>
        </w:tc>
      </w:tr>
      <w:tr>
        <w:trPr>
          <w:trHeight w:val="32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160" w:type="dxa"/>
            <w:vAlign w:val="bottom"/>
          </w:tcPr>
          <w:p>
            <w:pPr>
              <w:ind w:left="360"/>
              <w:spacing w:after="0"/>
              <w:rPr>
                <w:sz w:val="20"/>
                <w:szCs w:val="20"/>
                <w:color w:val="auto"/>
              </w:rPr>
            </w:pPr>
            <w:r>
              <w:rPr>
                <w:rFonts w:ascii="Arial" w:cs="Arial" w:eastAsia="Arial" w:hAnsi="Arial"/>
                <w:sz w:val="18"/>
                <w:szCs w:val="18"/>
                <w:color w:val="auto"/>
              </w:rPr>
              <w:t>Non-Executive Director (Red</w:t>
            </w:r>
          </w:p>
        </w:tc>
        <w:tc>
          <w:tcPr>
            <w:tcW w:w="3900" w:type="dxa"/>
            <w:vAlign w:val="bottom"/>
          </w:tcPr>
          <w:p>
            <w:pPr>
              <w:spacing w:after="0"/>
              <w:rPr>
                <w:sz w:val="24"/>
                <w:szCs w:val="24"/>
                <w:color w:val="auto"/>
              </w:rPr>
            </w:pPr>
          </w:p>
        </w:tc>
      </w:tr>
      <w:tr>
        <w:trPr>
          <w:trHeight w:val="230"/>
        </w:trPr>
        <w:tc>
          <w:tcPr>
            <w:tcW w:w="17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160" w:type="dxa"/>
            <w:vAlign w:val="bottom"/>
          </w:tcPr>
          <w:p>
            <w:pPr>
              <w:ind w:left="360"/>
              <w:spacing w:after="0"/>
              <w:rPr>
                <w:sz w:val="20"/>
                <w:szCs w:val="20"/>
                <w:color w:val="auto"/>
              </w:rPr>
            </w:pPr>
            <w:r>
              <w:rPr>
                <w:rFonts w:ascii="Arial" w:cs="Arial" w:eastAsia="Arial" w:hAnsi="Arial"/>
                <w:sz w:val="18"/>
                <w:szCs w:val="18"/>
                <w:color w:val="auto"/>
              </w:rPr>
              <w:t>Hat)</w:t>
            </w:r>
          </w:p>
        </w:tc>
        <w:tc>
          <w:tcPr>
            <w:tcW w:w="3900" w:type="dxa"/>
            <w:vAlign w:val="bottom"/>
          </w:tcPr>
          <w:p>
            <w:pPr>
              <w:spacing w:after="0"/>
              <w:rPr>
                <w:sz w:val="20"/>
                <w:szCs w:val="20"/>
                <w:color w:val="auto"/>
              </w:rPr>
            </w:pPr>
          </w:p>
        </w:tc>
      </w:tr>
      <w:tr>
        <w:trPr>
          <w:trHeight w:val="310"/>
        </w:trPr>
        <w:tc>
          <w:tcPr>
            <w:tcW w:w="1700" w:type="dxa"/>
            <w:vAlign w:val="bottom"/>
          </w:tcPr>
          <w:p>
            <w:pPr>
              <w:spacing w:after="0"/>
              <w:rPr>
                <w:sz w:val="20"/>
                <w:szCs w:val="20"/>
                <w:color w:val="auto"/>
              </w:rPr>
            </w:pPr>
            <w:r>
              <w:rPr>
                <w:rFonts w:ascii="Arial" w:cs="Arial" w:eastAsia="Arial" w:hAnsi="Arial"/>
                <w:sz w:val="18"/>
                <w:szCs w:val="18"/>
                <w:color w:val="auto"/>
              </w:rPr>
              <w:t>Hood, John</w:t>
            </w:r>
          </w:p>
        </w:tc>
        <w:tc>
          <w:tcPr>
            <w:tcW w:w="1720" w:type="dxa"/>
            <w:vAlign w:val="bottom"/>
          </w:tcPr>
          <w:p>
            <w:pPr>
              <w:ind w:left="440"/>
              <w:spacing w:after="0"/>
              <w:rPr>
                <w:sz w:val="20"/>
                <w:szCs w:val="20"/>
                <w:color w:val="auto"/>
              </w:rPr>
            </w:pPr>
            <w:r>
              <w:rPr>
                <w:rFonts w:ascii="Arial" w:cs="Arial" w:eastAsia="Arial" w:hAnsi="Arial"/>
                <w:sz w:val="18"/>
                <w:szCs w:val="18"/>
                <w:color w:val="auto"/>
              </w:rPr>
              <w:t>Director</w:t>
            </w:r>
          </w:p>
        </w:tc>
        <w:tc>
          <w:tcPr>
            <w:tcW w:w="3160" w:type="dxa"/>
            <w:vAlign w:val="bottom"/>
          </w:tcPr>
          <w:p>
            <w:pPr>
              <w:ind w:left="360"/>
              <w:spacing w:after="0"/>
              <w:rPr>
                <w:sz w:val="20"/>
                <w:szCs w:val="20"/>
                <w:color w:val="auto"/>
              </w:rPr>
            </w:pPr>
            <w:r>
              <w:rPr>
                <w:rFonts w:ascii="Arial" w:cs="Arial" w:eastAsia="Arial" w:hAnsi="Arial"/>
                <w:sz w:val="18"/>
                <w:szCs w:val="18"/>
                <w:color w:val="auto"/>
              </w:rPr>
              <w:t>President &amp; CEO (Robertson</w:t>
            </w:r>
          </w:p>
        </w:tc>
        <w:tc>
          <w:tcPr>
            <w:tcW w:w="3900" w:type="dxa"/>
            <w:vAlign w:val="bottom"/>
          </w:tcPr>
          <w:p>
            <w:pPr>
              <w:ind w:left="120"/>
              <w:spacing w:after="0"/>
              <w:rPr>
                <w:sz w:val="20"/>
                <w:szCs w:val="20"/>
                <w:color w:val="auto"/>
              </w:rPr>
            </w:pPr>
            <w:r>
              <w:rPr>
                <w:rFonts w:ascii="Arial" w:cs="Arial" w:eastAsia="Arial" w:hAnsi="Arial"/>
                <w:sz w:val="18"/>
                <w:szCs w:val="18"/>
                <w:color w:val="auto"/>
                <w:w w:val="91"/>
              </w:rPr>
              <w:t>27 Farm Street, London, W1J 5RJ, United Kingdom</w:t>
            </w:r>
          </w:p>
        </w:tc>
      </w:tr>
      <w:tr>
        <w:trPr>
          <w:trHeight w:val="230"/>
        </w:trPr>
        <w:tc>
          <w:tcPr>
            <w:tcW w:w="1700" w:type="dxa"/>
            <w:vAlign w:val="bottom"/>
          </w:tcPr>
          <w:p>
            <w:pPr>
              <w:spacing w:after="0"/>
              <w:rPr>
                <w:sz w:val="20"/>
                <w:szCs w:val="20"/>
                <w:color w:val="auto"/>
              </w:rPr>
            </w:pPr>
            <w:r>
              <w:rPr>
                <w:rFonts w:ascii="Arial" w:cs="Arial" w:eastAsia="Arial" w:hAnsi="Arial"/>
                <w:sz w:val="18"/>
                <w:szCs w:val="18"/>
                <w:color w:val="auto"/>
              </w:rPr>
              <w:t>New Zealand</w:t>
            </w:r>
          </w:p>
        </w:tc>
        <w:tc>
          <w:tcPr>
            <w:tcW w:w="1720" w:type="dxa"/>
            <w:vAlign w:val="bottom"/>
          </w:tcPr>
          <w:p>
            <w:pPr>
              <w:spacing w:after="0"/>
              <w:rPr>
                <w:sz w:val="20"/>
                <w:szCs w:val="20"/>
                <w:color w:val="auto"/>
              </w:rPr>
            </w:pPr>
          </w:p>
        </w:tc>
        <w:tc>
          <w:tcPr>
            <w:tcW w:w="3160" w:type="dxa"/>
            <w:vAlign w:val="bottom"/>
          </w:tcPr>
          <w:p>
            <w:pPr>
              <w:ind w:left="360"/>
              <w:spacing w:after="0"/>
              <w:rPr>
                <w:sz w:val="20"/>
                <w:szCs w:val="20"/>
                <w:color w:val="auto"/>
              </w:rPr>
            </w:pPr>
            <w:r>
              <w:rPr>
                <w:rFonts w:ascii="Arial" w:cs="Arial" w:eastAsia="Arial" w:hAnsi="Arial"/>
                <w:sz w:val="18"/>
                <w:szCs w:val="18"/>
                <w:color w:val="auto"/>
              </w:rPr>
              <w:t>Foundation)</w:t>
            </w:r>
          </w:p>
        </w:tc>
        <w:tc>
          <w:tcPr>
            <w:tcW w:w="3900" w:type="dxa"/>
            <w:vAlign w:val="bottom"/>
          </w:tcPr>
          <w:p>
            <w:pPr>
              <w:spacing w:after="0"/>
              <w:rPr>
                <w:sz w:val="20"/>
                <w:szCs w:val="20"/>
                <w:color w:val="auto"/>
              </w:rPr>
            </w:pPr>
          </w:p>
        </w:tc>
      </w:tr>
      <w:tr>
        <w:trPr>
          <w:trHeight w:val="32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160" w:type="dxa"/>
            <w:vAlign w:val="bottom"/>
          </w:tcPr>
          <w:p>
            <w:pPr>
              <w:ind w:left="360"/>
              <w:spacing w:after="0"/>
              <w:rPr>
                <w:sz w:val="20"/>
                <w:szCs w:val="20"/>
                <w:color w:val="auto"/>
              </w:rPr>
            </w:pPr>
            <w:r>
              <w:rPr>
                <w:rFonts w:ascii="Arial" w:cs="Arial" w:eastAsia="Arial" w:hAnsi="Arial"/>
                <w:sz w:val="18"/>
                <w:szCs w:val="18"/>
                <w:color w:val="auto"/>
              </w:rPr>
              <w:t>Chairman (Urenco Limited,</w:t>
            </w:r>
          </w:p>
        </w:tc>
        <w:tc>
          <w:tcPr>
            <w:tcW w:w="3900" w:type="dxa"/>
            <w:vAlign w:val="bottom"/>
          </w:tcPr>
          <w:p>
            <w:pPr>
              <w:spacing w:after="0"/>
              <w:rPr>
                <w:sz w:val="24"/>
                <w:szCs w:val="24"/>
                <w:color w:val="auto"/>
              </w:rPr>
            </w:pPr>
          </w:p>
        </w:tc>
      </w:tr>
      <w:tr>
        <w:trPr>
          <w:trHeight w:val="216"/>
        </w:trPr>
        <w:tc>
          <w:tcPr>
            <w:tcW w:w="17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160" w:type="dxa"/>
            <w:vAlign w:val="bottom"/>
          </w:tcPr>
          <w:p>
            <w:pPr>
              <w:ind w:left="360"/>
              <w:spacing w:after="0"/>
              <w:rPr>
                <w:sz w:val="20"/>
                <w:szCs w:val="20"/>
                <w:color w:val="auto"/>
              </w:rPr>
            </w:pPr>
            <w:r>
              <w:rPr>
                <w:rFonts w:ascii="Arial" w:cs="Arial" w:eastAsia="Arial" w:hAnsi="Arial"/>
                <w:sz w:val="18"/>
                <w:szCs w:val="18"/>
                <w:color w:val="auto"/>
              </w:rPr>
              <w:t>Matakina Limited and Study</w:t>
            </w:r>
          </w:p>
        </w:tc>
        <w:tc>
          <w:tcPr>
            <w:tcW w:w="3900" w:type="dxa"/>
            <w:vAlign w:val="bottom"/>
          </w:tcPr>
          <w:p>
            <w:pPr>
              <w:spacing w:after="0"/>
              <w:rPr>
                <w:sz w:val="18"/>
                <w:szCs w:val="18"/>
                <w:color w:val="auto"/>
              </w:rPr>
            </w:pPr>
          </w:p>
        </w:tc>
      </w:tr>
      <w:tr>
        <w:trPr>
          <w:trHeight w:val="230"/>
        </w:trPr>
        <w:tc>
          <w:tcPr>
            <w:tcW w:w="17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160" w:type="dxa"/>
            <w:vAlign w:val="bottom"/>
          </w:tcPr>
          <w:p>
            <w:pPr>
              <w:ind w:left="360"/>
              <w:spacing w:after="0"/>
              <w:rPr>
                <w:sz w:val="20"/>
                <w:szCs w:val="20"/>
                <w:color w:val="auto"/>
              </w:rPr>
            </w:pPr>
            <w:r>
              <w:rPr>
                <w:rFonts w:ascii="Arial" w:cs="Arial" w:eastAsia="Arial" w:hAnsi="Arial"/>
                <w:sz w:val="18"/>
                <w:szCs w:val="18"/>
                <w:color w:val="auto"/>
              </w:rPr>
              <w:t>Group Limited)</w:t>
            </w:r>
          </w:p>
        </w:tc>
        <w:tc>
          <w:tcPr>
            <w:tcW w:w="3900" w:type="dxa"/>
            <w:vAlign w:val="bottom"/>
          </w:tcPr>
          <w:p>
            <w:pPr>
              <w:spacing w:after="0"/>
              <w:rPr>
                <w:sz w:val="20"/>
                <w:szCs w:val="20"/>
                <w:color w:val="auto"/>
              </w:rPr>
            </w:pPr>
          </w:p>
        </w:tc>
      </w:tr>
      <w:tr>
        <w:trPr>
          <w:trHeight w:val="310"/>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160" w:type="dxa"/>
            <w:vAlign w:val="bottom"/>
          </w:tcPr>
          <w:p>
            <w:pPr>
              <w:ind w:left="360"/>
              <w:spacing w:after="0"/>
              <w:rPr>
                <w:sz w:val="20"/>
                <w:szCs w:val="20"/>
                <w:color w:val="auto"/>
              </w:rPr>
            </w:pPr>
            <w:r>
              <w:rPr>
                <w:rFonts w:ascii="Arial" w:cs="Arial" w:eastAsia="Arial" w:hAnsi="Arial"/>
                <w:sz w:val="18"/>
                <w:szCs w:val="18"/>
                <w:color w:val="auto"/>
              </w:rPr>
              <w:t>Chair (Rhodes Trust and Teach</w:t>
            </w:r>
          </w:p>
        </w:tc>
        <w:tc>
          <w:tcPr>
            <w:tcW w:w="3900" w:type="dxa"/>
            <w:vAlign w:val="bottom"/>
          </w:tcPr>
          <w:p>
            <w:pPr>
              <w:spacing w:after="0"/>
              <w:rPr>
                <w:sz w:val="24"/>
                <w:szCs w:val="24"/>
                <w:color w:val="auto"/>
              </w:rPr>
            </w:pPr>
          </w:p>
        </w:tc>
      </w:tr>
      <w:tr>
        <w:trPr>
          <w:trHeight w:val="230"/>
        </w:trPr>
        <w:tc>
          <w:tcPr>
            <w:tcW w:w="17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160" w:type="dxa"/>
            <w:vAlign w:val="bottom"/>
          </w:tcPr>
          <w:p>
            <w:pPr>
              <w:ind w:left="360"/>
              <w:spacing w:after="0"/>
              <w:rPr>
                <w:sz w:val="20"/>
                <w:szCs w:val="20"/>
                <w:color w:val="auto"/>
              </w:rPr>
            </w:pPr>
            <w:r>
              <w:rPr>
                <w:rFonts w:ascii="Arial" w:cs="Arial" w:eastAsia="Arial" w:hAnsi="Arial"/>
                <w:sz w:val="18"/>
                <w:szCs w:val="18"/>
                <w:color w:val="auto"/>
              </w:rPr>
              <w:t>For All)</w:t>
            </w:r>
          </w:p>
        </w:tc>
        <w:tc>
          <w:tcPr>
            <w:tcW w:w="3900" w:type="dxa"/>
            <w:vAlign w:val="bottom"/>
          </w:tcPr>
          <w:p>
            <w:pPr>
              <w:spacing w:after="0"/>
              <w:rPr>
                <w:sz w:val="20"/>
                <w:szCs w:val="20"/>
                <w:color w:val="auto"/>
              </w:rPr>
            </w:pPr>
          </w:p>
        </w:tc>
      </w:tr>
      <w:tr>
        <w:trPr>
          <w:trHeight w:val="365"/>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160" w:type="dxa"/>
            <w:vAlign w:val="bottom"/>
          </w:tcPr>
          <w:p>
            <w:pPr>
              <w:ind w:left="1560"/>
              <w:spacing w:after="0"/>
              <w:rPr>
                <w:sz w:val="20"/>
                <w:szCs w:val="20"/>
                <w:color w:val="auto"/>
              </w:rPr>
            </w:pPr>
            <w:r>
              <w:rPr>
                <w:rFonts w:ascii="Arial" w:cs="Arial" w:eastAsia="Arial" w:hAnsi="Arial"/>
                <w:sz w:val="18"/>
                <w:szCs w:val="18"/>
                <w:color w:val="auto"/>
                <w:w w:val="93"/>
              </w:rPr>
              <w:t>Page 11 of 13 Pages</w:t>
            </w:r>
          </w:p>
        </w:tc>
        <w:tc>
          <w:tcPr>
            <w:tcW w:w="3900" w:type="dxa"/>
            <w:vAlign w:val="bottom"/>
          </w:tcPr>
          <w:p>
            <w:pPr>
              <w:spacing w:after="0"/>
              <w:rPr>
                <w:sz w:val="24"/>
                <w:szCs w:val="24"/>
                <w:color w:val="auto"/>
              </w:rPr>
            </w:pPr>
          </w:p>
        </w:tc>
      </w:tr>
    </w:tbl>
    <w:p>
      <w:pPr>
        <w:sectPr>
          <w:pgSz w:w="11900" w:h="16838" w:orient="portrait"/>
          <w:cols w:equalWidth="0" w:num="1">
            <w:col w:w="10480"/>
          </w:cols>
          <w:pgMar w:left="240" w:top="382" w:right="1179" w:bottom="1440" w:gutter="0" w:footer="0" w:header="0"/>
        </w:sectPr>
      </w:pPr>
    </w:p>
    <w:bookmarkStart w:id="12" w:name="page13"/>
    <w:bookmarkEnd w:id="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Li, Ruigang</w:t>
            </w:r>
          </w:p>
        </w:tc>
        <w:tc>
          <w:tcPr>
            <w:tcW w:w="1560" w:type="dxa"/>
            <w:vAlign w:val="bottom"/>
          </w:tcPr>
          <w:p>
            <w:pPr>
              <w:ind w:left="440"/>
              <w:spacing w:after="0"/>
              <w:rPr>
                <w:sz w:val="20"/>
                <w:szCs w:val="20"/>
                <w:color w:val="auto"/>
              </w:rPr>
            </w:pPr>
            <w:r>
              <w:rPr>
                <w:rFonts w:ascii="Arial" w:cs="Arial" w:eastAsia="Arial" w:hAnsi="Arial"/>
                <w:sz w:val="18"/>
                <w:szCs w:val="18"/>
                <w:color w:val="auto"/>
              </w:rPr>
              <w:t>Director</w:t>
            </w:r>
          </w:p>
        </w:tc>
        <w:tc>
          <w:tcPr>
            <w:tcW w:w="3320" w:type="dxa"/>
            <w:vAlign w:val="bottom"/>
          </w:tcPr>
          <w:p>
            <w:pPr>
              <w:ind w:left="520"/>
              <w:spacing w:after="0"/>
              <w:rPr>
                <w:sz w:val="20"/>
                <w:szCs w:val="20"/>
                <w:color w:val="auto"/>
              </w:rPr>
            </w:pPr>
            <w:r>
              <w:rPr>
                <w:rFonts w:ascii="Arial" w:cs="Arial" w:eastAsia="Arial" w:hAnsi="Arial"/>
                <w:sz w:val="18"/>
                <w:szCs w:val="18"/>
                <w:color w:val="auto"/>
              </w:rPr>
              <w:t>Founding Chairman (CMC</w:t>
            </w:r>
          </w:p>
        </w:tc>
        <w:tc>
          <w:tcPr>
            <w:tcW w:w="3900" w:type="dxa"/>
            <w:vAlign w:val="bottom"/>
          </w:tcPr>
          <w:p>
            <w:pPr>
              <w:ind w:left="120"/>
              <w:spacing w:after="0"/>
              <w:rPr>
                <w:sz w:val="20"/>
                <w:szCs w:val="20"/>
                <w:color w:val="auto"/>
              </w:rPr>
            </w:pPr>
            <w:r>
              <w:rPr>
                <w:rFonts w:ascii="Arial" w:cs="Arial" w:eastAsia="Arial" w:hAnsi="Arial"/>
                <w:sz w:val="18"/>
                <w:szCs w:val="18"/>
                <w:color w:val="auto"/>
                <w:w w:val="91"/>
              </w:rPr>
              <w:t>27 Farm Street, London, W1J 5RJ, United Kingdom</w:t>
            </w:r>
          </w:p>
        </w:tc>
      </w:tr>
      <w:tr>
        <w:trPr>
          <w:trHeight w:val="230"/>
        </w:trPr>
        <w:tc>
          <w:tcPr>
            <w:tcW w:w="1700" w:type="dxa"/>
            <w:vAlign w:val="bottom"/>
          </w:tcPr>
          <w:p>
            <w:pPr>
              <w:spacing w:after="0"/>
              <w:rPr>
                <w:sz w:val="20"/>
                <w:szCs w:val="20"/>
                <w:color w:val="auto"/>
              </w:rPr>
            </w:pPr>
            <w:r>
              <w:rPr>
                <w:rFonts w:ascii="Arial" w:cs="Arial" w:eastAsia="Arial" w:hAnsi="Arial"/>
                <w:sz w:val="18"/>
                <w:szCs w:val="18"/>
                <w:color w:val="auto"/>
              </w:rPr>
              <w:t>China</w:t>
            </w:r>
          </w:p>
        </w:tc>
        <w:tc>
          <w:tcPr>
            <w:tcW w:w="1560" w:type="dxa"/>
            <w:vAlign w:val="bottom"/>
          </w:tcPr>
          <w:p>
            <w:pPr>
              <w:spacing w:after="0"/>
              <w:rPr>
                <w:sz w:val="20"/>
                <w:szCs w:val="20"/>
                <w:color w:val="auto"/>
              </w:rPr>
            </w:pPr>
          </w:p>
        </w:tc>
        <w:tc>
          <w:tcPr>
            <w:tcW w:w="3320" w:type="dxa"/>
            <w:vAlign w:val="bottom"/>
          </w:tcPr>
          <w:p>
            <w:pPr>
              <w:ind w:left="520"/>
              <w:spacing w:after="0"/>
              <w:rPr>
                <w:sz w:val="20"/>
                <w:szCs w:val="20"/>
                <w:color w:val="auto"/>
              </w:rPr>
            </w:pPr>
            <w:r>
              <w:rPr>
                <w:rFonts w:ascii="Arial" w:cs="Arial" w:eastAsia="Arial" w:hAnsi="Arial"/>
                <w:sz w:val="18"/>
                <w:szCs w:val="18"/>
                <w:color w:val="auto"/>
              </w:rPr>
              <w:t>Capital Partners)</w:t>
            </w:r>
          </w:p>
        </w:tc>
        <w:tc>
          <w:tcPr>
            <w:tcW w:w="3900" w:type="dxa"/>
            <w:vAlign w:val="bottom"/>
          </w:tcPr>
          <w:p>
            <w:pPr>
              <w:spacing w:after="0"/>
              <w:rPr>
                <w:sz w:val="20"/>
                <w:szCs w:val="20"/>
                <w:color w:val="auto"/>
              </w:rPr>
            </w:pPr>
          </w:p>
        </w:tc>
      </w:tr>
      <w:tr>
        <w:trPr>
          <w:trHeight w:val="323"/>
        </w:trPr>
        <w:tc>
          <w:tcPr>
            <w:tcW w:w="17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320" w:type="dxa"/>
            <w:vAlign w:val="bottom"/>
          </w:tcPr>
          <w:p>
            <w:pPr>
              <w:ind w:left="520"/>
              <w:spacing w:after="0"/>
              <w:rPr>
                <w:sz w:val="20"/>
                <w:szCs w:val="20"/>
                <w:color w:val="auto"/>
              </w:rPr>
            </w:pPr>
            <w:r>
              <w:rPr>
                <w:rFonts w:ascii="Arial" w:cs="Arial" w:eastAsia="Arial" w:hAnsi="Arial"/>
                <w:sz w:val="18"/>
                <w:szCs w:val="18"/>
                <w:color w:val="auto"/>
              </w:rPr>
              <w:t>Chairman (Shanghai Media</w:t>
            </w:r>
          </w:p>
        </w:tc>
        <w:tc>
          <w:tcPr>
            <w:tcW w:w="3900" w:type="dxa"/>
            <w:vAlign w:val="bottom"/>
          </w:tcPr>
          <w:p>
            <w:pPr>
              <w:spacing w:after="0"/>
              <w:rPr>
                <w:sz w:val="24"/>
                <w:szCs w:val="24"/>
                <w:color w:val="auto"/>
              </w:rPr>
            </w:pPr>
          </w:p>
        </w:tc>
      </w:tr>
      <w:tr>
        <w:trPr>
          <w:trHeight w:val="230"/>
        </w:trPr>
        <w:tc>
          <w:tcPr>
            <w:tcW w:w="17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320" w:type="dxa"/>
            <w:vAlign w:val="bottom"/>
          </w:tcPr>
          <w:p>
            <w:pPr>
              <w:ind w:left="520"/>
              <w:spacing w:after="0"/>
              <w:rPr>
                <w:sz w:val="20"/>
                <w:szCs w:val="20"/>
                <w:color w:val="auto"/>
              </w:rPr>
            </w:pPr>
            <w:r>
              <w:rPr>
                <w:rFonts w:ascii="Arial" w:cs="Arial" w:eastAsia="Arial" w:hAnsi="Arial"/>
                <w:sz w:val="18"/>
                <w:szCs w:val="18"/>
                <w:color w:val="auto"/>
              </w:rPr>
              <w:t>Group)</w:t>
            </w:r>
          </w:p>
        </w:tc>
        <w:tc>
          <w:tcPr>
            <w:tcW w:w="3900" w:type="dxa"/>
            <w:vAlign w:val="bottom"/>
          </w:tcPr>
          <w:p>
            <w:pPr>
              <w:spacing w:after="0"/>
              <w:rPr>
                <w:sz w:val="20"/>
                <w:szCs w:val="20"/>
                <w:color w:val="auto"/>
              </w:rPr>
            </w:pPr>
          </w:p>
        </w:tc>
      </w:tr>
      <w:tr>
        <w:trPr>
          <w:trHeight w:val="310"/>
        </w:trPr>
        <w:tc>
          <w:tcPr>
            <w:tcW w:w="1700" w:type="dxa"/>
            <w:vAlign w:val="bottom"/>
          </w:tcPr>
          <w:p>
            <w:pPr>
              <w:spacing w:after="0"/>
              <w:rPr>
                <w:sz w:val="20"/>
                <w:szCs w:val="20"/>
                <w:color w:val="auto"/>
              </w:rPr>
            </w:pPr>
            <w:r>
              <w:rPr>
                <w:rFonts w:ascii="Arial" w:cs="Arial" w:eastAsia="Arial" w:hAnsi="Arial"/>
                <w:sz w:val="18"/>
                <w:szCs w:val="18"/>
                <w:color w:val="auto"/>
              </w:rPr>
              <w:t>Riccardi, Daniela</w:t>
            </w:r>
          </w:p>
        </w:tc>
        <w:tc>
          <w:tcPr>
            <w:tcW w:w="1560" w:type="dxa"/>
            <w:vAlign w:val="bottom"/>
          </w:tcPr>
          <w:p>
            <w:pPr>
              <w:ind w:left="440"/>
              <w:spacing w:after="0"/>
              <w:rPr>
                <w:sz w:val="20"/>
                <w:szCs w:val="20"/>
                <w:color w:val="auto"/>
              </w:rPr>
            </w:pPr>
            <w:r>
              <w:rPr>
                <w:rFonts w:ascii="Arial" w:cs="Arial" w:eastAsia="Arial" w:hAnsi="Arial"/>
                <w:sz w:val="18"/>
                <w:szCs w:val="18"/>
                <w:color w:val="auto"/>
              </w:rPr>
              <w:t>Director</w:t>
            </w:r>
          </w:p>
        </w:tc>
        <w:tc>
          <w:tcPr>
            <w:tcW w:w="3320" w:type="dxa"/>
            <w:vAlign w:val="bottom"/>
          </w:tcPr>
          <w:p>
            <w:pPr>
              <w:ind w:left="520"/>
              <w:spacing w:after="0"/>
              <w:rPr>
                <w:sz w:val="20"/>
                <w:szCs w:val="20"/>
                <w:color w:val="auto"/>
              </w:rPr>
            </w:pPr>
            <w:r>
              <w:rPr>
                <w:rFonts w:ascii="Arial" w:cs="Arial" w:eastAsia="Arial" w:hAnsi="Arial"/>
                <w:sz w:val="18"/>
                <w:szCs w:val="18"/>
                <w:color w:val="auto"/>
              </w:rPr>
              <w:t>Chief Executive Officer</w:t>
            </w:r>
          </w:p>
        </w:tc>
        <w:tc>
          <w:tcPr>
            <w:tcW w:w="3900" w:type="dxa"/>
            <w:vAlign w:val="bottom"/>
          </w:tcPr>
          <w:p>
            <w:pPr>
              <w:ind w:left="120"/>
              <w:spacing w:after="0"/>
              <w:rPr>
                <w:sz w:val="20"/>
                <w:szCs w:val="20"/>
                <w:color w:val="auto"/>
              </w:rPr>
            </w:pPr>
            <w:r>
              <w:rPr>
                <w:rFonts w:ascii="Arial" w:cs="Arial" w:eastAsia="Arial" w:hAnsi="Arial"/>
                <w:sz w:val="18"/>
                <w:szCs w:val="18"/>
                <w:color w:val="auto"/>
                <w:w w:val="91"/>
              </w:rPr>
              <w:t>27 Farm Street, London, W1J 5RJ, United Kingdom</w:t>
            </w:r>
          </w:p>
        </w:tc>
      </w:tr>
      <w:tr>
        <w:trPr>
          <w:trHeight w:val="230"/>
        </w:trPr>
        <w:tc>
          <w:tcPr>
            <w:tcW w:w="1700" w:type="dxa"/>
            <w:vAlign w:val="bottom"/>
          </w:tcPr>
          <w:p>
            <w:pPr>
              <w:spacing w:after="0"/>
              <w:rPr>
                <w:sz w:val="20"/>
                <w:szCs w:val="20"/>
                <w:color w:val="auto"/>
              </w:rPr>
            </w:pPr>
            <w:r>
              <w:rPr>
                <w:rFonts w:ascii="Arial" w:cs="Arial" w:eastAsia="Arial" w:hAnsi="Arial"/>
                <w:sz w:val="18"/>
                <w:szCs w:val="18"/>
                <w:color w:val="auto"/>
              </w:rPr>
              <w:t>Italy</w:t>
            </w:r>
          </w:p>
        </w:tc>
        <w:tc>
          <w:tcPr>
            <w:tcW w:w="1560" w:type="dxa"/>
            <w:vAlign w:val="bottom"/>
          </w:tcPr>
          <w:p>
            <w:pPr>
              <w:spacing w:after="0"/>
              <w:rPr>
                <w:sz w:val="20"/>
                <w:szCs w:val="20"/>
                <w:color w:val="auto"/>
              </w:rPr>
            </w:pPr>
          </w:p>
        </w:tc>
        <w:tc>
          <w:tcPr>
            <w:tcW w:w="3320" w:type="dxa"/>
            <w:vAlign w:val="bottom"/>
          </w:tcPr>
          <w:p>
            <w:pPr>
              <w:ind w:left="520"/>
              <w:spacing w:after="0"/>
              <w:rPr>
                <w:sz w:val="20"/>
                <w:szCs w:val="20"/>
                <w:color w:val="auto"/>
              </w:rPr>
            </w:pPr>
            <w:r>
              <w:rPr>
                <w:rFonts w:ascii="Arial" w:cs="Arial" w:eastAsia="Arial" w:hAnsi="Arial"/>
                <w:sz w:val="18"/>
                <w:szCs w:val="18"/>
                <w:color w:val="auto"/>
              </w:rPr>
              <w:t>(Baccarat)</w:t>
            </w:r>
          </w:p>
        </w:tc>
        <w:tc>
          <w:tcPr>
            <w:tcW w:w="3900" w:type="dxa"/>
            <w:vAlign w:val="bottom"/>
          </w:tcPr>
          <w:p>
            <w:pPr>
              <w:spacing w:after="0"/>
              <w:rPr>
                <w:sz w:val="20"/>
                <w:szCs w:val="20"/>
                <w:color w:val="auto"/>
              </w:rPr>
            </w:pPr>
          </w:p>
        </w:tc>
      </w:tr>
      <w:tr>
        <w:trPr>
          <w:trHeight w:val="338"/>
        </w:trPr>
        <w:tc>
          <w:tcPr>
            <w:tcW w:w="17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320" w:type="dxa"/>
            <w:vAlign w:val="bottom"/>
          </w:tcPr>
          <w:p>
            <w:pPr>
              <w:ind w:left="520"/>
              <w:spacing w:after="0"/>
              <w:rPr>
                <w:sz w:val="20"/>
                <w:szCs w:val="20"/>
                <w:color w:val="auto"/>
              </w:rPr>
            </w:pPr>
            <w:r>
              <w:rPr>
                <w:rFonts w:ascii="Arial" w:cs="Arial" w:eastAsia="Arial" w:hAnsi="Arial"/>
                <w:sz w:val="18"/>
                <w:szCs w:val="18"/>
                <w:color w:val="auto"/>
              </w:rPr>
              <w:t>Non-Executive Director (Kering)</w:t>
            </w:r>
          </w:p>
        </w:tc>
        <w:tc>
          <w:tcPr>
            <w:tcW w:w="3900" w:type="dxa"/>
            <w:vAlign w:val="bottom"/>
          </w:tcPr>
          <w:p>
            <w:pPr>
              <w:spacing w:after="0"/>
              <w:rPr>
                <w:sz w:val="24"/>
                <w:szCs w:val="24"/>
                <w:color w:val="auto"/>
              </w:rPr>
            </w:pPr>
          </w:p>
        </w:tc>
      </w:tr>
      <w:tr>
        <w:trPr>
          <w:trHeight w:val="310"/>
        </w:trPr>
        <w:tc>
          <w:tcPr>
            <w:tcW w:w="1700" w:type="dxa"/>
            <w:vAlign w:val="bottom"/>
          </w:tcPr>
          <w:p>
            <w:pPr>
              <w:spacing w:after="0"/>
              <w:rPr>
                <w:sz w:val="20"/>
                <w:szCs w:val="20"/>
                <w:color w:val="auto"/>
              </w:rPr>
            </w:pPr>
            <w:r>
              <w:rPr>
                <w:rFonts w:ascii="Arial" w:cs="Arial" w:eastAsia="Arial" w:hAnsi="Arial"/>
                <w:sz w:val="18"/>
                <w:szCs w:val="18"/>
                <w:color w:val="auto"/>
              </w:rPr>
              <w:t>Seligman, Nicole</w:t>
            </w:r>
          </w:p>
        </w:tc>
        <w:tc>
          <w:tcPr>
            <w:tcW w:w="1560" w:type="dxa"/>
            <w:vAlign w:val="bottom"/>
          </w:tcPr>
          <w:p>
            <w:pPr>
              <w:ind w:left="440"/>
              <w:spacing w:after="0"/>
              <w:rPr>
                <w:sz w:val="20"/>
                <w:szCs w:val="20"/>
                <w:color w:val="auto"/>
              </w:rPr>
            </w:pPr>
            <w:r>
              <w:rPr>
                <w:rFonts w:ascii="Arial" w:cs="Arial" w:eastAsia="Arial" w:hAnsi="Arial"/>
                <w:sz w:val="18"/>
                <w:szCs w:val="18"/>
                <w:color w:val="auto"/>
              </w:rPr>
              <w:t>Director</w:t>
            </w:r>
          </w:p>
        </w:tc>
        <w:tc>
          <w:tcPr>
            <w:tcW w:w="3320" w:type="dxa"/>
            <w:vAlign w:val="bottom"/>
          </w:tcPr>
          <w:p>
            <w:pPr>
              <w:ind w:left="520"/>
              <w:spacing w:after="0"/>
              <w:rPr>
                <w:sz w:val="20"/>
                <w:szCs w:val="20"/>
                <w:color w:val="auto"/>
              </w:rPr>
            </w:pPr>
            <w:r>
              <w:rPr>
                <w:rFonts w:ascii="Arial" w:cs="Arial" w:eastAsia="Arial" w:hAnsi="Arial"/>
                <w:sz w:val="18"/>
                <w:szCs w:val="18"/>
                <w:color w:val="auto"/>
              </w:rPr>
              <w:t>President (Sony Entertainment</w:t>
            </w:r>
          </w:p>
        </w:tc>
        <w:tc>
          <w:tcPr>
            <w:tcW w:w="3900" w:type="dxa"/>
            <w:vAlign w:val="bottom"/>
          </w:tcPr>
          <w:p>
            <w:pPr>
              <w:ind w:left="120"/>
              <w:spacing w:after="0"/>
              <w:rPr>
                <w:sz w:val="20"/>
                <w:szCs w:val="20"/>
                <w:color w:val="auto"/>
              </w:rPr>
            </w:pPr>
            <w:r>
              <w:rPr>
                <w:rFonts w:ascii="Arial" w:cs="Arial" w:eastAsia="Arial" w:hAnsi="Arial"/>
                <w:sz w:val="18"/>
                <w:szCs w:val="18"/>
                <w:color w:val="auto"/>
                <w:w w:val="91"/>
              </w:rPr>
              <w:t>27 Farm Street, London, W1J 5RJ, United Kingdom</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US</w:t>
            </w:r>
          </w:p>
        </w:tc>
        <w:tc>
          <w:tcPr>
            <w:tcW w:w="1560" w:type="dxa"/>
            <w:vAlign w:val="bottom"/>
          </w:tcPr>
          <w:p>
            <w:pPr>
              <w:spacing w:after="0"/>
              <w:rPr>
                <w:sz w:val="18"/>
                <w:szCs w:val="18"/>
                <w:color w:val="auto"/>
              </w:rPr>
            </w:pPr>
          </w:p>
        </w:tc>
        <w:tc>
          <w:tcPr>
            <w:tcW w:w="3320" w:type="dxa"/>
            <w:vAlign w:val="bottom"/>
          </w:tcPr>
          <w:p>
            <w:pPr>
              <w:ind w:left="520"/>
              <w:spacing w:after="0"/>
              <w:rPr>
                <w:sz w:val="20"/>
                <w:szCs w:val="20"/>
                <w:color w:val="auto"/>
              </w:rPr>
            </w:pPr>
            <w:r>
              <w:rPr>
                <w:rFonts w:ascii="Arial" w:cs="Arial" w:eastAsia="Arial" w:hAnsi="Arial"/>
                <w:sz w:val="18"/>
                <w:szCs w:val="18"/>
                <w:color w:val="auto"/>
              </w:rPr>
              <w:t>Inc. and Sony Corporation of</w:t>
            </w:r>
          </w:p>
        </w:tc>
        <w:tc>
          <w:tcPr>
            <w:tcW w:w="3900" w:type="dxa"/>
            <w:vAlign w:val="bottom"/>
          </w:tcPr>
          <w:p>
            <w:pPr>
              <w:spacing w:after="0"/>
              <w:rPr>
                <w:sz w:val="18"/>
                <w:szCs w:val="18"/>
                <w:color w:val="auto"/>
              </w:rPr>
            </w:pPr>
          </w:p>
        </w:tc>
      </w:tr>
      <w:tr>
        <w:trPr>
          <w:trHeight w:val="230"/>
        </w:trPr>
        <w:tc>
          <w:tcPr>
            <w:tcW w:w="17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320" w:type="dxa"/>
            <w:vAlign w:val="bottom"/>
          </w:tcPr>
          <w:p>
            <w:pPr>
              <w:ind w:left="520"/>
              <w:spacing w:after="0"/>
              <w:rPr>
                <w:sz w:val="20"/>
                <w:szCs w:val="20"/>
                <w:color w:val="auto"/>
              </w:rPr>
            </w:pPr>
            <w:r>
              <w:rPr>
                <w:rFonts w:ascii="Arial" w:cs="Arial" w:eastAsia="Arial" w:hAnsi="Arial"/>
                <w:sz w:val="18"/>
                <w:szCs w:val="18"/>
                <w:color w:val="auto"/>
              </w:rPr>
              <w:t>America)</w:t>
            </w:r>
          </w:p>
        </w:tc>
        <w:tc>
          <w:tcPr>
            <w:tcW w:w="3900" w:type="dxa"/>
            <w:vAlign w:val="bottom"/>
          </w:tcPr>
          <w:p>
            <w:pPr>
              <w:spacing w:after="0"/>
              <w:rPr>
                <w:sz w:val="20"/>
                <w:szCs w:val="20"/>
                <w:color w:val="auto"/>
              </w:rPr>
            </w:pPr>
          </w:p>
        </w:tc>
      </w:tr>
      <w:tr>
        <w:trPr>
          <w:trHeight w:val="310"/>
        </w:trPr>
        <w:tc>
          <w:tcPr>
            <w:tcW w:w="17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320" w:type="dxa"/>
            <w:vAlign w:val="bottom"/>
          </w:tcPr>
          <w:p>
            <w:pPr>
              <w:ind w:left="520"/>
              <w:spacing w:after="0"/>
              <w:rPr>
                <w:sz w:val="20"/>
                <w:szCs w:val="20"/>
                <w:color w:val="auto"/>
              </w:rPr>
            </w:pPr>
            <w:r>
              <w:rPr>
                <w:rFonts w:ascii="Arial" w:cs="Arial" w:eastAsia="Arial" w:hAnsi="Arial"/>
                <w:sz w:val="18"/>
                <w:szCs w:val="18"/>
                <w:color w:val="auto"/>
              </w:rPr>
              <w:t>Senior Legal Counsel</w:t>
            </w:r>
          </w:p>
        </w:tc>
        <w:tc>
          <w:tcPr>
            <w:tcW w:w="3900" w:type="dxa"/>
            <w:vAlign w:val="bottom"/>
          </w:tcPr>
          <w:p>
            <w:pPr>
              <w:spacing w:after="0"/>
              <w:rPr>
                <w:sz w:val="24"/>
                <w:szCs w:val="24"/>
                <w:color w:val="auto"/>
              </w:rPr>
            </w:pPr>
          </w:p>
        </w:tc>
      </w:tr>
      <w:tr>
        <w:trPr>
          <w:trHeight w:val="230"/>
        </w:trPr>
        <w:tc>
          <w:tcPr>
            <w:tcW w:w="17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320" w:type="dxa"/>
            <w:vAlign w:val="bottom"/>
          </w:tcPr>
          <w:p>
            <w:pPr>
              <w:ind w:left="520"/>
              <w:spacing w:after="0"/>
              <w:rPr>
                <w:sz w:val="20"/>
                <w:szCs w:val="20"/>
                <w:color w:val="auto"/>
              </w:rPr>
            </w:pPr>
            <w:r>
              <w:rPr>
                <w:rFonts w:ascii="Arial" w:cs="Arial" w:eastAsia="Arial" w:hAnsi="Arial"/>
                <w:sz w:val="18"/>
                <w:szCs w:val="18"/>
                <w:color w:val="auto"/>
              </w:rPr>
              <w:t>(Sony Group)</w:t>
            </w:r>
          </w:p>
        </w:tc>
        <w:tc>
          <w:tcPr>
            <w:tcW w:w="3900" w:type="dxa"/>
            <w:vAlign w:val="bottom"/>
          </w:tcPr>
          <w:p>
            <w:pPr>
              <w:spacing w:after="0"/>
              <w:rPr>
                <w:sz w:val="20"/>
                <w:szCs w:val="20"/>
                <w:color w:val="auto"/>
              </w:rPr>
            </w:pPr>
          </w:p>
        </w:tc>
      </w:tr>
      <w:tr>
        <w:trPr>
          <w:trHeight w:val="323"/>
        </w:trPr>
        <w:tc>
          <w:tcPr>
            <w:tcW w:w="1700" w:type="dxa"/>
            <w:vAlign w:val="bottom"/>
          </w:tcPr>
          <w:p>
            <w:pPr>
              <w:spacing w:after="0"/>
              <w:rPr>
                <w:sz w:val="20"/>
                <w:szCs w:val="20"/>
                <w:color w:val="auto"/>
              </w:rPr>
            </w:pPr>
            <w:r>
              <w:rPr>
                <w:rFonts w:ascii="Arial" w:cs="Arial" w:eastAsia="Arial" w:hAnsi="Arial"/>
                <w:sz w:val="18"/>
                <w:szCs w:val="18"/>
                <w:color w:val="auto"/>
              </w:rPr>
              <w:t>Shong, Hugo</w:t>
            </w:r>
          </w:p>
        </w:tc>
        <w:tc>
          <w:tcPr>
            <w:tcW w:w="1560" w:type="dxa"/>
            <w:vAlign w:val="bottom"/>
          </w:tcPr>
          <w:p>
            <w:pPr>
              <w:ind w:left="440"/>
              <w:spacing w:after="0"/>
              <w:rPr>
                <w:sz w:val="20"/>
                <w:szCs w:val="20"/>
                <w:color w:val="auto"/>
              </w:rPr>
            </w:pPr>
            <w:r>
              <w:rPr>
                <w:rFonts w:ascii="Arial" w:cs="Arial" w:eastAsia="Arial" w:hAnsi="Arial"/>
                <w:sz w:val="18"/>
                <w:szCs w:val="18"/>
                <w:color w:val="auto"/>
              </w:rPr>
              <w:t>Director</w:t>
            </w:r>
          </w:p>
        </w:tc>
        <w:tc>
          <w:tcPr>
            <w:tcW w:w="3320" w:type="dxa"/>
            <w:vAlign w:val="bottom"/>
          </w:tcPr>
          <w:p>
            <w:pPr>
              <w:ind w:left="520"/>
              <w:spacing w:after="0"/>
              <w:rPr>
                <w:sz w:val="20"/>
                <w:szCs w:val="20"/>
                <w:color w:val="auto"/>
              </w:rPr>
            </w:pPr>
            <w:r>
              <w:rPr>
                <w:rFonts w:ascii="Arial" w:cs="Arial" w:eastAsia="Arial" w:hAnsi="Arial"/>
                <w:sz w:val="18"/>
                <w:szCs w:val="18"/>
                <w:color w:val="auto"/>
              </w:rPr>
              <w:t>Executive Vice President,</w:t>
            </w:r>
          </w:p>
        </w:tc>
        <w:tc>
          <w:tcPr>
            <w:tcW w:w="3900" w:type="dxa"/>
            <w:vAlign w:val="bottom"/>
          </w:tcPr>
          <w:p>
            <w:pPr>
              <w:ind w:left="120"/>
              <w:spacing w:after="0"/>
              <w:rPr>
                <w:sz w:val="20"/>
                <w:szCs w:val="20"/>
                <w:color w:val="auto"/>
              </w:rPr>
            </w:pPr>
            <w:r>
              <w:rPr>
                <w:rFonts w:ascii="Arial" w:cs="Arial" w:eastAsia="Arial" w:hAnsi="Arial"/>
                <w:sz w:val="18"/>
                <w:szCs w:val="18"/>
                <w:color w:val="auto"/>
                <w:w w:val="91"/>
              </w:rPr>
              <w:t>27 Farm Street, London, W1J 5RJ, United Kingdom</w:t>
            </w:r>
          </w:p>
        </w:tc>
      </w:tr>
      <w:tr>
        <w:trPr>
          <w:trHeight w:val="230"/>
        </w:trPr>
        <w:tc>
          <w:tcPr>
            <w:tcW w:w="1700" w:type="dxa"/>
            <w:vAlign w:val="bottom"/>
          </w:tcPr>
          <w:p>
            <w:pPr>
              <w:spacing w:after="0"/>
              <w:rPr>
                <w:sz w:val="20"/>
                <w:szCs w:val="20"/>
                <w:color w:val="auto"/>
              </w:rPr>
            </w:pPr>
            <w:r>
              <w:rPr>
                <w:rFonts w:ascii="Arial" w:cs="Arial" w:eastAsia="Arial" w:hAnsi="Arial"/>
                <w:sz w:val="18"/>
                <w:szCs w:val="18"/>
                <w:color w:val="auto"/>
              </w:rPr>
              <w:t>US</w:t>
            </w:r>
          </w:p>
        </w:tc>
        <w:tc>
          <w:tcPr>
            <w:tcW w:w="1560" w:type="dxa"/>
            <w:vAlign w:val="bottom"/>
          </w:tcPr>
          <w:p>
            <w:pPr>
              <w:spacing w:after="0"/>
              <w:rPr>
                <w:sz w:val="20"/>
                <w:szCs w:val="20"/>
                <w:color w:val="auto"/>
              </w:rPr>
            </w:pPr>
          </w:p>
        </w:tc>
        <w:tc>
          <w:tcPr>
            <w:tcW w:w="3320" w:type="dxa"/>
            <w:vAlign w:val="bottom"/>
          </w:tcPr>
          <w:p>
            <w:pPr>
              <w:ind w:left="520"/>
              <w:spacing w:after="0"/>
              <w:rPr>
                <w:sz w:val="20"/>
                <w:szCs w:val="20"/>
                <w:color w:val="auto"/>
              </w:rPr>
            </w:pPr>
            <w:r>
              <w:rPr>
                <w:rFonts w:ascii="Arial" w:cs="Arial" w:eastAsia="Arial" w:hAnsi="Arial"/>
                <w:sz w:val="18"/>
                <w:szCs w:val="18"/>
                <w:color w:val="auto"/>
              </w:rPr>
              <w:t>(International Data Group)</w:t>
            </w:r>
          </w:p>
        </w:tc>
        <w:tc>
          <w:tcPr>
            <w:tcW w:w="3900" w:type="dxa"/>
            <w:vAlign w:val="bottom"/>
          </w:tcPr>
          <w:p>
            <w:pPr>
              <w:spacing w:after="0"/>
              <w:rPr>
                <w:sz w:val="20"/>
                <w:szCs w:val="20"/>
                <w:color w:val="auto"/>
              </w:rPr>
            </w:pPr>
          </w:p>
        </w:tc>
      </w:tr>
      <w:tr>
        <w:trPr>
          <w:trHeight w:val="323"/>
        </w:trPr>
        <w:tc>
          <w:tcPr>
            <w:tcW w:w="17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320" w:type="dxa"/>
            <w:vAlign w:val="bottom"/>
          </w:tcPr>
          <w:p>
            <w:pPr>
              <w:ind w:left="520"/>
              <w:spacing w:after="0"/>
              <w:rPr>
                <w:sz w:val="20"/>
                <w:szCs w:val="20"/>
                <w:color w:val="auto"/>
              </w:rPr>
            </w:pPr>
            <w:r>
              <w:rPr>
                <w:rFonts w:ascii="Arial" w:cs="Arial" w:eastAsia="Arial" w:hAnsi="Arial"/>
                <w:sz w:val="18"/>
                <w:szCs w:val="18"/>
                <w:color w:val="auto"/>
              </w:rPr>
              <w:t>Member (Board of China Jiuhao</w:t>
            </w:r>
          </w:p>
        </w:tc>
        <w:tc>
          <w:tcPr>
            <w:tcW w:w="3900" w:type="dxa"/>
            <w:vAlign w:val="bottom"/>
          </w:tcPr>
          <w:p>
            <w:pPr>
              <w:spacing w:after="0"/>
              <w:rPr>
                <w:sz w:val="24"/>
                <w:szCs w:val="24"/>
                <w:color w:val="auto"/>
              </w:rPr>
            </w:pPr>
          </w:p>
        </w:tc>
      </w:tr>
      <w:tr>
        <w:trPr>
          <w:trHeight w:val="230"/>
        </w:trPr>
        <w:tc>
          <w:tcPr>
            <w:tcW w:w="17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320" w:type="dxa"/>
            <w:vAlign w:val="bottom"/>
          </w:tcPr>
          <w:p>
            <w:pPr>
              <w:ind w:left="520"/>
              <w:spacing w:after="0"/>
              <w:rPr>
                <w:sz w:val="20"/>
                <w:szCs w:val="20"/>
                <w:color w:val="auto"/>
              </w:rPr>
            </w:pPr>
            <w:r>
              <w:rPr>
                <w:rFonts w:ascii="Arial" w:cs="Arial" w:eastAsia="Arial" w:hAnsi="Arial"/>
                <w:sz w:val="18"/>
                <w:szCs w:val="18"/>
                <w:color w:val="auto"/>
              </w:rPr>
              <w:t>Health Industry Corp)</w:t>
            </w:r>
          </w:p>
        </w:tc>
        <w:tc>
          <w:tcPr>
            <w:tcW w:w="3900" w:type="dxa"/>
            <w:vAlign w:val="bottom"/>
          </w:tcPr>
          <w:p>
            <w:pPr>
              <w:spacing w:after="0"/>
              <w:rPr>
                <w:sz w:val="20"/>
                <w:szCs w:val="20"/>
                <w:color w:val="auto"/>
              </w:rPr>
            </w:pPr>
          </w:p>
        </w:tc>
      </w:tr>
      <w:tr>
        <w:trPr>
          <w:trHeight w:val="310"/>
        </w:trPr>
        <w:tc>
          <w:tcPr>
            <w:tcW w:w="17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320" w:type="dxa"/>
            <w:vAlign w:val="bottom"/>
          </w:tcPr>
          <w:p>
            <w:pPr>
              <w:ind w:left="520"/>
              <w:spacing w:after="0"/>
              <w:rPr>
                <w:sz w:val="20"/>
                <w:szCs w:val="20"/>
                <w:color w:val="auto"/>
              </w:rPr>
            </w:pPr>
            <w:r>
              <w:rPr>
                <w:rFonts w:ascii="Arial" w:cs="Arial" w:eastAsia="Arial" w:hAnsi="Arial"/>
                <w:sz w:val="18"/>
                <w:szCs w:val="18"/>
                <w:color w:val="auto"/>
              </w:rPr>
              <w:t>Member (Board of Mei</w:t>
            </w:r>
          </w:p>
        </w:tc>
        <w:tc>
          <w:tcPr>
            <w:tcW w:w="3900" w:type="dxa"/>
            <w:vAlign w:val="bottom"/>
          </w:tcPr>
          <w:p>
            <w:pPr>
              <w:spacing w:after="0"/>
              <w:rPr>
                <w:sz w:val="24"/>
                <w:szCs w:val="24"/>
                <w:color w:val="auto"/>
              </w:rPr>
            </w:pPr>
          </w:p>
        </w:tc>
      </w:tr>
      <w:tr>
        <w:trPr>
          <w:trHeight w:val="230"/>
        </w:trPr>
        <w:tc>
          <w:tcPr>
            <w:tcW w:w="17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320" w:type="dxa"/>
            <w:vAlign w:val="bottom"/>
          </w:tcPr>
          <w:p>
            <w:pPr>
              <w:ind w:left="520"/>
              <w:spacing w:after="0"/>
              <w:rPr>
                <w:sz w:val="20"/>
                <w:szCs w:val="20"/>
                <w:color w:val="auto"/>
              </w:rPr>
            </w:pPr>
            <w:r>
              <w:rPr>
                <w:rFonts w:ascii="Arial" w:cs="Arial" w:eastAsia="Arial" w:hAnsi="Arial"/>
                <w:sz w:val="18"/>
                <w:szCs w:val="18"/>
                <w:color w:val="auto"/>
              </w:rPr>
              <w:t>Ah Entertainment Group)</w:t>
            </w:r>
          </w:p>
        </w:tc>
        <w:tc>
          <w:tcPr>
            <w:tcW w:w="3900" w:type="dxa"/>
            <w:vAlign w:val="bottom"/>
          </w:tcPr>
          <w:p>
            <w:pPr>
              <w:spacing w:after="0"/>
              <w:rPr>
                <w:sz w:val="20"/>
                <w:szCs w:val="20"/>
                <w:color w:val="auto"/>
              </w:rPr>
            </w:pPr>
          </w:p>
        </w:tc>
      </w:tr>
      <w:tr>
        <w:trPr>
          <w:trHeight w:val="310"/>
        </w:trPr>
        <w:tc>
          <w:tcPr>
            <w:tcW w:w="17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320" w:type="dxa"/>
            <w:vAlign w:val="bottom"/>
          </w:tcPr>
          <w:p>
            <w:pPr>
              <w:ind w:left="520"/>
              <w:spacing w:after="0"/>
              <w:rPr>
                <w:sz w:val="20"/>
                <w:szCs w:val="20"/>
                <w:color w:val="auto"/>
              </w:rPr>
            </w:pPr>
            <w:r>
              <w:rPr>
                <w:rFonts w:ascii="Arial" w:cs="Arial" w:eastAsia="Arial" w:hAnsi="Arial"/>
                <w:sz w:val="18"/>
                <w:szCs w:val="18"/>
                <w:color w:val="auto"/>
              </w:rPr>
              <w:t>Member (Board of Trustees of</w:t>
            </w:r>
          </w:p>
        </w:tc>
        <w:tc>
          <w:tcPr>
            <w:tcW w:w="3900" w:type="dxa"/>
            <w:vAlign w:val="bottom"/>
          </w:tcPr>
          <w:p>
            <w:pPr>
              <w:spacing w:after="0"/>
              <w:rPr>
                <w:sz w:val="24"/>
                <w:szCs w:val="24"/>
                <w:color w:val="auto"/>
              </w:rPr>
            </w:pPr>
          </w:p>
        </w:tc>
      </w:tr>
      <w:tr>
        <w:trPr>
          <w:trHeight w:val="230"/>
        </w:trPr>
        <w:tc>
          <w:tcPr>
            <w:tcW w:w="17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320" w:type="dxa"/>
            <w:vAlign w:val="bottom"/>
          </w:tcPr>
          <w:p>
            <w:pPr>
              <w:ind w:left="520"/>
              <w:spacing w:after="0"/>
              <w:rPr>
                <w:sz w:val="20"/>
                <w:szCs w:val="20"/>
                <w:color w:val="auto"/>
              </w:rPr>
            </w:pPr>
            <w:r>
              <w:rPr>
                <w:rFonts w:ascii="Arial" w:cs="Arial" w:eastAsia="Arial" w:hAnsi="Arial"/>
                <w:sz w:val="18"/>
                <w:szCs w:val="18"/>
                <w:color w:val="auto"/>
              </w:rPr>
              <w:t>Boston University)</w:t>
            </w:r>
          </w:p>
        </w:tc>
        <w:tc>
          <w:tcPr>
            <w:tcW w:w="3900" w:type="dxa"/>
            <w:vAlign w:val="bottom"/>
          </w:tcPr>
          <w:p>
            <w:pPr>
              <w:spacing w:after="0"/>
              <w:rPr>
                <w:sz w:val="20"/>
                <w:szCs w:val="20"/>
                <w:color w:val="auto"/>
              </w:rPr>
            </w:pPr>
          </w:p>
        </w:tc>
      </w:tr>
      <w:tr>
        <w:trPr>
          <w:trHeight w:val="365"/>
        </w:trPr>
        <w:tc>
          <w:tcPr>
            <w:tcW w:w="17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320" w:type="dxa"/>
            <w:vAlign w:val="bottom"/>
          </w:tcPr>
          <w:p>
            <w:pPr>
              <w:ind w:left="1720"/>
              <w:spacing w:after="0"/>
              <w:rPr>
                <w:sz w:val="20"/>
                <w:szCs w:val="20"/>
                <w:color w:val="auto"/>
              </w:rPr>
            </w:pPr>
            <w:r>
              <w:rPr>
                <w:rFonts w:ascii="Arial" w:cs="Arial" w:eastAsia="Arial" w:hAnsi="Arial"/>
                <w:sz w:val="18"/>
                <w:szCs w:val="18"/>
                <w:color w:val="auto"/>
                <w:w w:val="93"/>
              </w:rPr>
              <w:t>Page 12 of 13 Pages</w:t>
            </w:r>
          </w:p>
        </w:tc>
        <w:tc>
          <w:tcPr>
            <w:tcW w:w="3900" w:type="dxa"/>
            <w:vAlign w:val="bottom"/>
          </w:tcPr>
          <w:p>
            <w:pPr>
              <w:spacing w:after="0"/>
              <w:rPr>
                <w:sz w:val="24"/>
                <w:szCs w:val="24"/>
                <w:color w:val="auto"/>
              </w:rPr>
            </w:pPr>
          </w:p>
        </w:tc>
      </w:tr>
    </w:tbl>
    <w:p>
      <w:pPr>
        <w:sectPr>
          <w:pgSz w:w="11900" w:h="16838" w:orient="portrait"/>
          <w:cols w:equalWidth="0" w:num="1">
            <w:col w:w="10480"/>
          </w:cols>
          <w:pgMar w:left="240" w:top="382" w:right="1179" w:bottom="1440" w:gutter="0" w:footer="0" w:header="0"/>
        </w:sectPr>
      </w:pPr>
    </w:p>
    <w:bookmarkStart w:id="13" w:name="page14"/>
    <w:bookmarkEnd w:id="1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Shriver, Timothy A.</w:t>
            </w:r>
          </w:p>
        </w:tc>
        <w:tc>
          <w:tcPr>
            <w:tcW w:w="14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3320" w:type="dxa"/>
            <w:vAlign w:val="bottom"/>
          </w:tcPr>
          <w:p>
            <w:pPr>
              <w:ind w:left="520"/>
              <w:spacing w:after="0"/>
              <w:rPr>
                <w:sz w:val="20"/>
                <w:szCs w:val="20"/>
                <w:color w:val="auto"/>
              </w:rPr>
            </w:pPr>
            <w:r>
              <w:rPr>
                <w:rFonts w:ascii="Arial" w:cs="Arial" w:eastAsia="Arial" w:hAnsi="Arial"/>
                <w:sz w:val="18"/>
                <w:szCs w:val="18"/>
                <w:color w:val="auto"/>
              </w:rPr>
              <w:t>Chairman (Special Olympics)</w:t>
            </w:r>
          </w:p>
        </w:tc>
        <w:tc>
          <w:tcPr>
            <w:tcW w:w="3900" w:type="dxa"/>
            <w:vAlign w:val="bottom"/>
          </w:tcPr>
          <w:p>
            <w:pPr>
              <w:ind w:left="120"/>
              <w:spacing w:after="0"/>
              <w:rPr>
                <w:sz w:val="20"/>
                <w:szCs w:val="20"/>
                <w:color w:val="auto"/>
              </w:rPr>
            </w:pPr>
            <w:r>
              <w:rPr>
                <w:rFonts w:ascii="Arial" w:cs="Arial" w:eastAsia="Arial" w:hAnsi="Arial"/>
                <w:sz w:val="18"/>
                <w:szCs w:val="18"/>
                <w:color w:val="auto"/>
                <w:w w:val="91"/>
              </w:rPr>
              <w:t>27 Farm Street, London, W1J 5RJ, United Kingdom</w:t>
            </w:r>
          </w:p>
        </w:tc>
      </w:tr>
      <w:tr>
        <w:trPr>
          <w:trHeight w:val="230"/>
        </w:trPr>
        <w:tc>
          <w:tcPr>
            <w:tcW w:w="1800" w:type="dxa"/>
            <w:vAlign w:val="bottom"/>
          </w:tcPr>
          <w:p>
            <w:pPr>
              <w:spacing w:after="0"/>
              <w:rPr>
                <w:sz w:val="20"/>
                <w:szCs w:val="20"/>
                <w:color w:val="auto"/>
              </w:rPr>
            </w:pPr>
            <w:r>
              <w:rPr>
                <w:rFonts w:ascii="Arial" w:cs="Arial" w:eastAsia="Arial" w:hAnsi="Arial"/>
                <w:sz w:val="18"/>
                <w:szCs w:val="18"/>
                <w:color w:val="auto"/>
              </w:rPr>
              <w:t>US</w:t>
            </w:r>
          </w:p>
        </w:tc>
        <w:tc>
          <w:tcPr>
            <w:tcW w:w="14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900" w:type="dxa"/>
            <w:vAlign w:val="bottom"/>
          </w:tcPr>
          <w:p>
            <w:pPr>
              <w:spacing w:after="0"/>
              <w:rPr>
                <w:sz w:val="20"/>
                <w:szCs w:val="20"/>
                <w:color w:val="auto"/>
              </w:rPr>
            </w:pPr>
          </w:p>
        </w:tc>
      </w:tr>
      <w:tr>
        <w:trPr>
          <w:trHeight w:val="323"/>
        </w:trPr>
        <w:tc>
          <w:tcPr>
            <w:tcW w:w="1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320" w:type="dxa"/>
            <w:vAlign w:val="bottom"/>
          </w:tcPr>
          <w:p>
            <w:pPr>
              <w:ind w:left="520"/>
              <w:spacing w:after="0"/>
              <w:rPr>
                <w:sz w:val="20"/>
                <w:szCs w:val="20"/>
                <w:color w:val="auto"/>
              </w:rPr>
            </w:pPr>
            <w:r>
              <w:rPr>
                <w:rFonts w:ascii="Arial" w:cs="Arial" w:eastAsia="Arial" w:hAnsi="Arial"/>
                <w:sz w:val="18"/>
                <w:szCs w:val="18"/>
                <w:color w:val="auto"/>
              </w:rPr>
              <w:t>Co-Founder and Chair</w:t>
            </w:r>
          </w:p>
        </w:tc>
        <w:tc>
          <w:tcPr>
            <w:tcW w:w="3900" w:type="dxa"/>
            <w:vAlign w:val="bottom"/>
          </w:tcPr>
          <w:p>
            <w:pPr>
              <w:spacing w:after="0"/>
              <w:rPr>
                <w:sz w:val="24"/>
                <w:szCs w:val="24"/>
                <w:color w:val="auto"/>
              </w:rPr>
            </w:pPr>
          </w:p>
        </w:tc>
      </w:tr>
      <w:tr>
        <w:trPr>
          <w:trHeight w:val="216"/>
        </w:trPr>
        <w:tc>
          <w:tcPr>
            <w:tcW w:w="1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320" w:type="dxa"/>
            <w:vAlign w:val="bottom"/>
          </w:tcPr>
          <w:p>
            <w:pPr>
              <w:ind w:left="520"/>
              <w:spacing w:after="0"/>
              <w:rPr>
                <w:sz w:val="20"/>
                <w:szCs w:val="20"/>
                <w:color w:val="auto"/>
              </w:rPr>
            </w:pPr>
            <w:r>
              <w:rPr>
                <w:rFonts w:ascii="Arial" w:cs="Arial" w:eastAsia="Arial" w:hAnsi="Arial"/>
                <w:sz w:val="18"/>
                <w:szCs w:val="18"/>
                <w:color w:val="auto"/>
              </w:rPr>
              <w:t>(Collaborative for Academic,</w:t>
            </w:r>
          </w:p>
        </w:tc>
        <w:tc>
          <w:tcPr>
            <w:tcW w:w="390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320" w:type="dxa"/>
            <w:vAlign w:val="bottom"/>
          </w:tcPr>
          <w:p>
            <w:pPr>
              <w:ind w:left="520"/>
              <w:spacing w:after="0"/>
              <w:rPr>
                <w:sz w:val="20"/>
                <w:szCs w:val="20"/>
                <w:color w:val="auto"/>
              </w:rPr>
            </w:pPr>
            <w:r>
              <w:rPr>
                <w:rFonts w:ascii="Arial" w:cs="Arial" w:eastAsia="Arial" w:hAnsi="Arial"/>
                <w:sz w:val="18"/>
                <w:szCs w:val="18"/>
                <w:color w:val="auto"/>
              </w:rPr>
              <w:t>Social and Emotional Learning</w:t>
            </w:r>
          </w:p>
        </w:tc>
        <w:tc>
          <w:tcPr>
            <w:tcW w:w="3900" w:type="dxa"/>
            <w:vAlign w:val="bottom"/>
          </w:tcPr>
          <w:p>
            <w:pPr>
              <w:spacing w:after="0"/>
              <w:rPr>
                <w:sz w:val="18"/>
                <w:szCs w:val="18"/>
                <w:color w:val="auto"/>
              </w:rPr>
            </w:pPr>
          </w:p>
        </w:tc>
      </w:tr>
      <w:tr>
        <w:trPr>
          <w:trHeight w:val="230"/>
        </w:trPr>
        <w:tc>
          <w:tcPr>
            <w:tcW w:w="18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320" w:type="dxa"/>
            <w:vAlign w:val="bottom"/>
          </w:tcPr>
          <w:p>
            <w:pPr>
              <w:ind w:left="520"/>
              <w:spacing w:after="0"/>
              <w:rPr>
                <w:sz w:val="20"/>
                <w:szCs w:val="20"/>
                <w:color w:val="auto"/>
              </w:rPr>
            </w:pPr>
            <w:r>
              <w:rPr>
                <w:rFonts w:ascii="Arial" w:cs="Arial" w:eastAsia="Arial" w:hAnsi="Arial"/>
                <w:sz w:val="18"/>
                <w:szCs w:val="18"/>
                <w:color w:val="auto"/>
              </w:rPr>
              <w:t>(CASEL))</w:t>
            </w:r>
          </w:p>
        </w:tc>
        <w:tc>
          <w:tcPr>
            <w:tcW w:w="3900" w:type="dxa"/>
            <w:vAlign w:val="bottom"/>
          </w:tcPr>
          <w:p>
            <w:pPr>
              <w:spacing w:after="0"/>
              <w:rPr>
                <w:sz w:val="20"/>
                <w:szCs w:val="20"/>
                <w:color w:val="auto"/>
              </w:rPr>
            </w:pPr>
          </w:p>
        </w:tc>
      </w:tr>
      <w:tr>
        <w:trPr>
          <w:trHeight w:val="310"/>
        </w:trPr>
        <w:tc>
          <w:tcPr>
            <w:tcW w:w="1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320" w:type="dxa"/>
            <w:vAlign w:val="bottom"/>
          </w:tcPr>
          <w:p>
            <w:pPr>
              <w:ind w:left="520"/>
              <w:spacing w:after="0"/>
              <w:rPr>
                <w:sz w:val="20"/>
                <w:szCs w:val="20"/>
                <w:color w:val="auto"/>
              </w:rPr>
            </w:pPr>
            <w:r>
              <w:rPr>
                <w:rFonts w:ascii="Arial" w:cs="Arial" w:eastAsia="Arial" w:hAnsi="Arial"/>
                <w:sz w:val="18"/>
                <w:szCs w:val="18"/>
                <w:color w:val="auto"/>
              </w:rPr>
              <w:t>Member (Council on Foreign</w:t>
            </w:r>
          </w:p>
        </w:tc>
        <w:tc>
          <w:tcPr>
            <w:tcW w:w="3900" w:type="dxa"/>
            <w:vAlign w:val="bottom"/>
          </w:tcPr>
          <w:p>
            <w:pPr>
              <w:spacing w:after="0"/>
              <w:rPr>
                <w:sz w:val="24"/>
                <w:szCs w:val="24"/>
                <w:color w:val="auto"/>
              </w:rPr>
            </w:pPr>
          </w:p>
        </w:tc>
      </w:tr>
      <w:tr>
        <w:trPr>
          <w:trHeight w:val="230"/>
        </w:trPr>
        <w:tc>
          <w:tcPr>
            <w:tcW w:w="18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320" w:type="dxa"/>
            <w:vAlign w:val="bottom"/>
          </w:tcPr>
          <w:p>
            <w:pPr>
              <w:ind w:left="520"/>
              <w:spacing w:after="0"/>
              <w:rPr>
                <w:sz w:val="20"/>
                <w:szCs w:val="20"/>
                <w:color w:val="auto"/>
              </w:rPr>
            </w:pPr>
            <w:r>
              <w:rPr>
                <w:rFonts w:ascii="Arial" w:cs="Arial" w:eastAsia="Arial" w:hAnsi="Arial"/>
                <w:sz w:val="18"/>
                <w:szCs w:val="18"/>
                <w:color w:val="auto"/>
              </w:rPr>
              <w:t>Relations)</w:t>
            </w:r>
          </w:p>
        </w:tc>
        <w:tc>
          <w:tcPr>
            <w:tcW w:w="3900" w:type="dxa"/>
            <w:vAlign w:val="bottom"/>
          </w:tcPr>
          <w:p>
            <w:pPr>
              <w:spacing w:after="0"/>
              <w:rPr>
                <w:sz w:val="20"/>
                <w:szCs w:val="20"/>
                <w:color w:val="auto"/>
              </w:rPr>
            </w:pPr>
          </w:p>
        </w:tc>
      </w:tr>
      <w:tr>
        <w:trPr>
          <w:trHeight w:val="310"/>
        </w:trPr>
        <w:tc>
          <w:tcPr>
            <w:tcW w:w="1800" w:type="dxa"/>
            <w:vAlign w:val="bottom"/>
          </w:tcPr>
          <w:p>
            <w:pPr>
              <w:spacing w:after="0"/>
              <w:rPr>
                <w:sz w:val="20"/>
                <w:szCs w:val="20"/>
                <w:color w:val="auto"/>
              </w:rPr>
            </w:pPr>
            <w:r>
              <w:rPr>
                <w:rFonts w:ascii="Arial" w:cs="Arial" w:eastAsia="Arial" w:hAnsi="Arial"/>
                <w:sz w:val="18"/>
                <w:szCs w:val="18"/>
                <w:color w:val="auto"/>
              </w:rPr>
              <w:t>Susman, Sally</w:t>
            </w:r>
          </w:p>
        </w:tc>
        <w:tc>
          <w:tcPr>
            <w:tcW w:w="14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3320" w:type="dxa"/>
            <w:vAlign w:val="bottom"/>
          </w:tcPr>
          <w:p>
            <w:pPr>
              <w:ind w:left="520"/>
              <w:spacing w:after="0"/>
              <w:rPr>
                <w:sz w:val="20"/>
                <w:szCs w:val="20"/>
                <w:color w:val="auto"/>
              </w:rPr>
            </w:pPr>
            <w:r>
              <w:rPr>
                <w:rFonts w:ascii="Arial" w:cs="Arial" w:eastAsia="Arial" w:hAnsi="Arial"/>
                <w:sz w:val="18"/>
                <w:szCs w:val="18"/>
                <w:color w:val="auto"/>
              </w:rPr>
              <w:t>Executive Vice President,</w:t>
            </w:r>
          </w:p>
        </w:tc>
        <w:tc>
          <w:tcPr>
            <w:tcW w:w="3900" w:type="dxa"/>
            <w:vAlign w:val="bottom"/>
          </w:tcPr>
          <w:p>
            <w:pPr>
              <w:ind w:left="120"/>
              <w:spacing w:after="0"/>
              <w:rPr>
                <w:sz w:val="20"/>
                <w:szCs w:val="20"/>
                <w:color w:val="auto"/>
              </w:rPr>
            </w:pPr>
            <w:r>
              <w:rPr>
                <w:rFonts w:ascii="Arial" w:cs="Arial" w:eastAsia="Arial" w:hAnsi="Arial"/>
                <w:sz w:val="18"/>
                <w:szCs w:val="18"/>
                <w:color w:val="auto"/>
                <w:w w:val="91"/>
              </w:rPr>
              <w:t>27 Farm Street, London, W1J 5RJ, United Kingdom</w:t>
            </w:r>
          </w:p>
        </w:tc>
      </w:tr>
      <w:tr>
        <w:trPr>
          <w:trHeight w:val="230"/>
        </w:trPr>
        <w:tc>
          <w:tcPr>
            <w:tcW w:w="1800" w:type="dxa"/>
            <w:vAlign w:val="bottom"/>
          </w:tcPr>
          <w:p>
            <w:pPr>
              <w:spacing w:after="0"/>
              <w:rPr>
                <w:sz w:val="20"/>
                <w:szCs w:val="20"/>
                <w:color w:val="auto"/>
              </w:rPr>
            </w:pPr>
            <w:r>
              <w:rPr>
                <w:rFonts w:ascii="Arial" w:cs="Arial" w:eastAsia="Arial" w:hAnsi="Arial"/>
                <w:sz w:val="18"/>
                <w:szCs w:val="18"/>
                <w:color w:val="auto"/>
              </w:rPr>
              <w:t>US</w:t>
            </w:r>
          </w:p>
        </w:tc>
        <w:tc>
          <w:tcPr>
            <w:tcW w:w="1460" w:type="dxa"/>
            <w:vAlign w:val="bottom"/>
          </w:tcPr>
          <w:p>
            <w:pPr>
              <w:spacing w:after="0"/>
              <w:rPr>
                <w:sz w:val="20"/>
                <w:szCs w:val="20"/>
                <w:color w:val="auto"/>
              </w:rPr>
            </w:pPr>
          </w:p>
        </w:tc>
        <w:tc>
          <w:tcPr>
            <w:tcW w:w="3320" w:type="dxa"/>
            <w:vAlign w:val="bottom"/>
          </w:tcPr>
          <w:p>
            <w:pPr>
              <w:ind w:left="520"/>
              <w:spacing w:after="0"/>
              <w:rPr>
                <w:sz w:val="20"/>
                <w:szCs w:val="20"/>
                <w:color w:val="auto"/>
              </w:rPr>
            </w:pPr>
            <w:r>
              <w:rPr>
                <w:rFonts w:ascii="Arial" w:cs="Arial" w:eastAsia="Arial" w:hAnsi="Arial"/>
                <w:sz w:val="18"/>
                <w:szCs w:val="18"/>
                <w:color w:val="auto"/>
              </w:rPr>
              <w:t>Corporate Affairs (Pfizer)</w:t>
            </w:r>
          </w:p>
        </w:tc>
        <w:tc>
          <w:tcPr>
            <w:tcW w:w="3900" w:type="dxa"/>
            <w:vAlign w:val="bottom"/>
          </w:tcPr>
          <w:p>
            <w:pPr>
              <w:spacing w:after="0"/>
              <w:rPr>
                <w:sz w:val="20"/>
                <w:szCs w:val="20"/>
                <w:color w:val="auto"/>
              </w:rPr>
            </w:pPr>
          </w:p>
        </w:tc>
      </w:tr>
      <w:tr>
        <w:trPr>
          <w:trHeight w:val="323"/>
        </w:trPr>
        <w:tc>
          <w:tcPr>
            <w:tcW w:w="1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320" w:type="dxa"/>
            <w:vAlign w:val="bottom"/>
          </w:tcPr>
          <w:p>
            <w:pPr>
              <w:ind w:left="520"/>
              <w:spacing w:after="0"/>
              <w:rPr>
                <w:sz w:val="20"/>
                <w:szCs w:val="20"/>
                <w:color w:val="auto"/>
              </w:rPr>
            </w:pPr>
            <w:r>
              <w:rPr>
                <w:rFonts w:ascii="Arial" w:cs="Arial" w:eastAsia="Arial" w:hAnsi="Arial"/>
                <w:sz w:val="18"/>
                <w:szCs w:val="18"/>
                <w:color w:val="auto"/>
              </w:rPr>
              <w:t>Member (Board of International</w:t>
            </w:r>
          </w:p>
        </w:tc>
        <w:tc>
          <w:tcPr>
            <w:tcW w:w="3900" w:type="dxa"/>
            <w:vAlign w:val="bottom"/>
          </w:tcPr>
          <w:p>
            <w:pPr>
              <w:spacing w:after="0"/>
              <w:rPr>
                <w:sz w:val="24"/>
                <w:szCs w:val="24"/>
                <w:color w:val="auto"/>
              </w:rPr>
            </w:pPr>
          </w:p>
        </w:tc>
      </w:tr>
      <w:tr>
        <w:trPr>
          <w:trHeight w:val="230"/>
        </w:trPr>
        <w:tc>
          <w:tcPr>
            <w:tcW w:w="18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320" w:type="dxa"/>
            <w:vAlign w:val="bottom"/>
          </w:tcPr>
          <w:p>
            <w:pPr>
              <w:ind w:left="520"/>
              <w:spacing w:after="0"/>
              <w:rPr>
                <w:sz w:val="20"/>
                <w:szCs w:val="20"/>
                <w:color w:val="auto"/>
              </w:rPr>
            </w:pPr>
            <w:r>
              <w:rPr>
                <w:rFonts w:ascii="Arial" w:cs="Arial" w:eastAsia="Arial" w:hAnsi="Arial"/>
                <w:sz w:val="18"/>
                <w:szCs w:val="18"/>
                <w:color w:val="auto"/>
              </w:rPr>
              <w:t>Rescue Committee)</w:t>
            </w:r>
          </w:p>
        </w:tc>
        <w:tc>
          <w:tcPr>
            <w:tcW w:w="3900" w:type="dxa"/>
            <w:vAlign w:val="bottom"/>
          </w:tcPr>
          <w:p>
            <w:pPr>
              <w:spacing w:after="0"/>
              <w:rPr>
                <w:sz w:val="20"/>
                <w:szCs w:val="20"/>
                <w:color w:val="auto"/>
              </w:rPr>
            </w:pPr>
          </w:p>
        </w:tc>
      </w:tr>
      <w:tr>
        <w:trPr>
          <w:trHeight w:val="324"/>
        </w:trPr>
        <w:tc>
          <w:tcPr>
            <w:tcW w:w="1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320" w:type="dxa"/>
            <w:vAlign w:val="bottom"/>
          </w:tcPr>
          <w:p>
            <w:pPr>
              <w:ind w:left="520"/>
              <w:spacing w:after="0"/>
              <w:rPr>
                <w:sz w:val="20"/>
                <w:szCs w:val="20"/>
                <w:color w:val="auto"/>
              </w:rPr>
            </w:pPr>
            <w:r>
              <w:rPr>
                <w:rFonts w:ascii="Arial" w:cs="Arial" w:eastAsia="Arial" w:hAnsi="Arial"/>
                <w:sz w:val="18"/>
                <w:szCs w:val="18"/>
                <w:color w:val="auto"/>
              </w:rPr>
              <w:t>Trustee (Library of Congress)</w:t>
            </w:r>
          </w:p>
        </w:tc>
        <w:tc>
          <w:tcPr>
            <w:tcW w:w="3900" w:type="dxa"/>
            <w:vAlign w:val="bottom"/>
          </w:tcPr>
          <w:p>
            <w:pPr>
              <w:spacing w:after="0"/>
              <w:rPr>
                <w:sz w:val="24"/>
                <w:szCs w:val="24"/>
                <w:color w:val="auto"/>
              </w:rPr>
            </w:pPr>
          </w:p>
        </w:tc>
      </w:tr>
      <w:tr>
        <w:trPr>
          <w:trHeight w:val="310"/>
        </w:trPr>
        <w:tc>
          <w:tcPr>
            <w:tcW w:w="1800" w:type="dxa"/>
            <w:vAlign w:val="bottom"/>
          </w:tcPr>
          <w:p>
            <w:pPr>
              <w:spacing w:after="0"/>
              <w:rPr>
                <w:sz w:val="20"/>
                <w:szCs w:val="20"/>
                <w:color w:val="auto"/>
              </w:rPr>
            </w:pPr>
            <w:r>
              <w:rPr>
                <w:rFonts w:ascii="Arial" w:cs="Arial" w:eastAsia="Arial" w:hAnsi="Arial"/>
                <w:sz w:val="18"/>
                <w:szCs w:val="18"/>
                <w:color w:val="auto"/>
              </w:rPr>
              <w:t>Trujillo, Solomon</w:t>
            </w:r>
          </w:p>
        </w:tc>
        <w:tc>
          <w:tcPr>
            <w:tcW w:w="14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3320" w:type="dxa"/>
            <w:vAlign w:val="bottom"/>
          </w:tcPr>
          <w:p>
            <w:pPr>
              <w:ind w:left="520"/>
              <w:spacing w:after="0"/>
              <w:rPr>
                <w:sz w:val="20"/>
                <w:szCs w:val="20"/>
                <w:color w:val="auto"/>
              </w:rPr>
            </w:pPr>
            <w:r>
              <w:rPr>
                <w:rFonts w:ascii="Arial" w:cs="Arial" w:eastAsia="Arial" w:hAnsi="Arial"/>
                <w:sz w:val="18"/>
                <w:szCs w:val="18"/>
                <w:color w:val="auto"/>
              </w:rPr>
              <w:t>Member of various corporate</w:t>
            </w:r>
          </w:p>
        </w:tc>
        <w:tc>
          <w:tcPr>
            <w:tcW w:w="3900" w:type="dxa"/>
            <w:vAlign w:val="bottom"/>
          </w:tcPr>
          <w:p>
            <w:pPr>
              <w:ind w:left="120"/>
              <w:spacing w:after="0"/>
              <w:rPr>
                <w:sz w:val="20"/>
                <w:szCs w:val="20"/>
                <w:color w:val="auto"/>
              </w:rPr>
            </w:pPr>
            <w:r>
              <w:rPr>
                <w:rFonts w:ascii="Arial" w:cs="Arial" w:eastAsia="Arial" w:hAnsi="Arial"/>
                <w:sz w:val="18"/>
                <w:szCs w:val="18"/>
                <w:color w:val="auto"/>
                <w:w w:val="91"/>
              </w:rPr>
              <w:t>27 Farm Street, London, W1J 5RJ, United Kingdom</w:t>
            </w:r>
          </w:p>
        </w:tc>
      </w:tr>
      <w:tr>
        <w:trPr>
          <w:trHeight w:val="230"/>
        </w:trPr>
        <w:tc>
          <w:tcPr>
            <w:tcW w:w="1800" w:type="dxa"/>
            <w:vAlign w:val="bottom"/>
          </w:tcPr>
          <w:p>
            <w:pPr>
              <w:spacing w:after="0"/>
              <w:rPr>
                <w:sz w:val="20"/>
                <w:szCs w:val="20"/>
                <w:color w:val="auto"/>
              </w:rPr>
            </w:pPr>
            <w:r>
              <w:rPr>
                <w:rFonts w:ascii="Arial" w:cs="Arial" w:eastAsia="Arial" w:hAnsi="Arial"/>
                <w:sz w:val="18"/>
                <w:szCs w:val="18"/>
                <w:color w:val="auto"/>
              </w:rPr>
              <w:t>US</w:t>
            </w:r>
          </w:p>
        </w:tc>
        <w:tc>
          <w:tcPr>
            <w:tcW w:w="1460" w:type="dxa"/>
            <w:vAlign w:val="bottom"/>
          </w:tcPr>
          <w:p>
            <w:pPr>
              <w:spacing w:after="0"/>
              <w:rPr>
                <w:sz w:val="20"/>
                <w:szCs w:val="20"/>
                <w:color w:val="auto"/>
              </w:rPr>
            </w:pPr>
          </w:p>
        </w:tc>
        <w:tc>
          <w:tcPr>
            <w:tcW w:w="3320" w:type="dxa"/>
            <w:vAlign w:val="bottom"/>
          </w:tcPr>
          <w:p>
            <w:pPr>
              <w:ind w:left="520"/>
              <w:spacing w:after="0"/>
              <w:rPr>
                <w:sz w:val="20"/>
                <w:szCs w:val="20"/>
                <w:color w:val="auto"/>
              </w:rPr>
            </w:pPr>
            <w:r>
              <w:rPr>
                <w:rFonts w:ascii="Arial" w:cs="Arial" w:eastAsia="Arial" w:hAnsi="Arial"/>
                <w:sz w:val="18"/>
                <w:szCs w:val="18"/>
                <w:color w:val="auto"/>
              </w:rPr>
              <w:t>boards in the US, EU and China</w:t>
            </w:r>
          </w:p>
        </w:tc>
        <w:tc>
          <w:tcPr>
            <w:tcW w:w="3900" w:type="dxa"/>
            <w:vAlign w:val="bottom"/>
          </w:tcPr>
          <w:p>
            <w:pPr>
              <w:spacing w:after="0"/>
              <w:rPr>
                <w:sz w:val="20"/>
                <w:szCs w:val="20"/>
                <w:color w:val="auto"/>
              </w:rPr>
            </w:pPr>
          </w:p>
        </w:tc>
      </w:tr>
      <w:tr>
        <w:trPr>
          <w:trHeight w:val="378"/>
        </w:trPr>
        <w:tc>
          <w:tcPr>
            <w:tcW w:w="1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320" w:type="dxa"/>
            <w:vAlign w:val="bottom"/>
          </w:tcPr>
          <w:p>
            <w:pPr>
              <w:ind w:left="1720"/>
              <w:spacing w:after="0"/>
              <w:rPr>
                <w:sz w:val="20"/>
                <w:szCs w:val="20"/>
                <w:color w:val="auto"/>
              </w:rPr>
            </w:pPr>
            <w:r>
              <w:rPr>
                <w:rFonts w:ascii="Arial" w:cs="Arial" w:eastAsia="Arial" w:hAnsi="Arial"/>
                <w:sz w:val="18"/>
                <w:szCs w:val="18"/>
                <w:color w:val="auto"/>
                <w:w w:val="93"/>
              </w:rPr>
              <w:t>Page 13 of 13 Pages</w:t>
            </w:r>
          </w:p>
        </w:tc>
        <w:tc>
          <w:tcPr>
            <w:tcW w:w="3900" w:type="dxa"/>
            <w:vAlign w:val="bottom"/>
          </w:tcPr>
          <w:p>
            <w:pPr>
              <w:spacing w:after="0"/>
              <w:rPr>
                <w:sz w:val="24"/>
                <w:szCs w:val="24"/>
                <w:color w:val="auto"/>
              </w:rPr>
            </w:pPr>
          </w:p>
        </w:tc>
      </w:tr>
    </w:tbl>
    <w:p>
      <w:pPr>
        <w:sectPr>
          <w:pgSz w:w="11900" w:h="16838" w:orient="portrait"/>
          <w:cols w:equalWidth="0" w:num="1">
            <w:col w:w="10480"/>
          </w:cols>
          <w:pgMar w:left="240" w:top="382" w:right="117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color w:val="auto"/>
        </w:rPr>
        <w:t>Exhibit 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AGREEMENT dated as of September 24, 2015, by and among WPP Luxembourg Gamma Three S.à r.l. and WPP plc (collectively, the “</w:t>
      </w:r>
      <w:r>
        <w:rPr>
          <w:rFonts w:ascii="Arial" w:cs="Arial" w:eastAsia="Arial" w:hAnsi="Arial"/>
          <w:sz w:val="17"/>
          <w:szCs w:val="17"/>
          <w:u w:val="single" w:color="auto"/>
          <w:color w:val="auto"/>
        </w:rPr>
        <w:t>Parties</w:t>
      </w:r>
      <w:r>
        <w:rPr>
          <w:rFonts w:ascii="Arial" w:cs="Arial" w:eastAsia="Arial" w:hAnsi="Arial"/>
          <w:sz w:val="17"/>
          <w:szCs w:val="17"/>
          <w:color w:val="auto"/>
        </w:rPr>
        <w:t>”).</w:t>
      </w:r>
    </w:p>
    <w:p>
      <w:pPr>
        <w:spacing w:after="0" w:line="23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Each of the Parties hereto represents to the other Parties that it is eligible to use Schedule 13D to report its beneficial interest in the common stock of OptimizeRx Corporation (“</w:t>
      </w:r>
      <w:r>
        <w:rPr>
          <w:rFonts w:ascii="Arial" w:cs="Arial" w:eastAsia="Arial" w:hAnsi="Arial"/>
          <w:sz w:val="18"/>
          <w:szCs w:val="18"/>
          <w:u w:val="single" w:color="auto"/>
          <w:color w:val="auto"/>
        </w:rPr>
        <w:t>Schedule 13D</w:t>
      </w:r>
      <w:r>
        <w:rPr>
          <w:rFonts w:ascii="Arial" w:cs="Arial" w:eastAsia="Arial" w:hAnsi="Arial"/>
          <w:sz w:val="18"/>
          <w:szCs w:val="18"/>
          <w:color w:val="auto"/>
        </w:rPr>
        <w:t>”) and it will file the Schedule 13D on behalf of itself.</w:t>
      </w:r>
    </w:p>
    <w:p>
      <w:pPr>
        <w:spacing w:after="0" w:line="170"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Each of the Parties agrees to be responsible for the timely filing of the Schedule 13D and any and all amendments thereto and for the completeness and accuracy of the information concerning itself contained in the Schedule 13D, and the other Parties to the extent it knows or has reason to believe that any information about the other Parties is inaccurate.</w:t>
      </w:r>
    </w:p>
    <w:p>
      <w:pPr>
        <w:spacing w:after="0" w:line="20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WPP LUXEMBOURG GAMMA THREE S.À R.L.</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By:  /s/ Anne Ehrismann</w:t>
      </w:r>
    </w:p>
    <w:p>
      <w:pPr>
        <w:spacing w:after="0" w:line="2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Name: Anne Ehrismann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-130810</wp:posOffset>
            </wp:positionV>
            <wp:extent cx="34734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8"/>
          <w:szCs w:val="18"/>
          <w:color w:val="auto"/>
        </w:rPr>
        <w:t>Title: Manager</w:t>
      </w:r>
    </w:p>
    <w:p>
      <w:pPr>
        <w:spacing w:after="0" w:line="21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By:  /s/ Thierry Lenders</w:t>
      </w:r>
    </w:p>
    <w:p>
      <w:pPr>
        <w:spacing w:after="0" w:line="2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Name: Thierry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-130810</wp:posOffset>
            </wp:positionV>
            <wp:extent cx="34734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8"/>
          <w:szCs w:val="18"/>
          <w:color w:val="auto"/>
        </w:rPr>
        <w:t>Title: Manager</w:t>
      </w:r>
    </w:p>
    <w:p>
      <w:pPr>
        <w:spacing w:after="0" w:line="21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WPP PLC</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By:  /s/ Paul W.G. Richardson</w:t>
      </w:r>
    </w:p>
    <w:p>
      <w:pPr>
        <w:spacing w:after="0" w:line="2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Name: Paul W.G. Richardson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-130810</wp:posOffset>
            </wp:positionV>
            <wp:extent cx="34734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8"/>
          <w:szCs w:val="18"/>
          <w:color w:val="auto"/>
        </w:rPr>
        <w:t>Title: 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1"/>
      <w:numFmt w:val="bullet"/>
      <w:start w:val="1"/>
    </w:lvl>
  </w:abstractNum>
  <w:abstractNum w:abstractNumId="2">
    <w:nsid w:val="109CF92E"/>
    <w:multiLevelType w:val="hybridMultilevel"/>
    <w:lvl w:ilvl="0">
      <w:lvlJc w:val="left"/>
      <w:lvlText w:val="2"/>
      <w:numFmt w:val="bullet"/>
      <w:start w:val="1"/>
    </w:lvl>
  </w:abstractNum>
  <w:abstractNum w:abstractNumId="3">
    <w:nsid w:val="DED7263"/>
    <w:multiLevelType w:val="hybridMultilevel"/>
    <w:lvl w:ilvl="0">
      <w:lvlJc w:val="left"/>
      <w:lvlText w:val="3"/>
      <w:numFmt w:val="bullet"/>
      <w:start w:val="1"/>
    </w:lvl>
  </w:abstractNum>
  <w:abstractNum w:abstractNumId="4">
    <w:nsid w:val="7FDCC233"/>
    <w:multiLevelType w:val="hybridMultilevel"/>
    <w:lvl w:ilvl="0">
      <w:lvlJc w:val="left"/>
      <w:lvlText w:val="4"/>
      <w:numFmt w:val="bullet"/>
      <w:start w:val="1"/>
    </w:lvl>
  </w:abstractNum>
  <w:abstractNum w:abstractNumId="5">
    <w:nsid w:val="1BEFD79F"/>
    <w:multiLevelType w:val="hybridMultilevel"/>
    <w:lvl w:ilvl="0">
      <w:lvlJc w:val="left"/>
      <w:lvlText w:val="5"/>
      <w:numFmt w:val="bullet"/>
      <w:start w:val="1"/>
    </w:lvl>
  </w:abstractNum>
  <w:abstractNum w:abstractNumId="6">
    <w:nsid w:val="41A7C4C9"/>
    <w:multiLevelType w:val="hybridMultilevel"/>
    <w:lvl w:ilvl="0">
      <w:lvlJc w:val="left"/>
      <w:lvlText w:val="7"/>
      <w:numFmt w:val="bullet"/>
      <w:start w:val="1"/>
    </w:lvl>
  </w:abstractNum>
  <w:abstractNum w:abstractNumId="7">
    <w:nsid w:val="6B68079A"/>
    <w:multiLevelType w:val="hybridMultilevel"/>
    <w:lvl w:ilvl="0">
      <w:lvlJc w:val="left"/>
      <w:lvlText w:val="%1"/>
      <w:numFmt w:val="decimal"/>
      <w:start w:val="11"/>
    </w:lvl>
  </w:abstractNum>
  <w:abstractNum w:abstractNumId="8">
    <w:nsid w:val="4E6AFB66"/>
    <w:multiLevelType w:val="hybridMultilevel"/>
    <w:lvl w:ilvl="0">
      <w:lvlJc w:val="left"/>
      <w:lvlText w:val="%1"/>
      <w:numFmt w:val="decimal"/>
      <w:start w:val="12"/>
    </w:lvl>
  </w:abstractNum>
  <w:abstractNum w:abstractNumId="9">
    <w:nsid w:val="25E45D32"/>
    <w:multiLevelType w:val="hybridMultilevel"/>
    <w:lvl w:ilvl="0">
      <w:lvlJc w:val="left"/>
      <w:lvlText w:val="%1"/>
      <w:numFmt w:val="decimal"/>
      <w:start w:val="14"/>
    </w:lvl>
  </w:abstractNum>
  <w:abstractNum w:abstractNumId="10">
    <w:nsid w:val="519B500D"/>
    <w:multiLevelType w:val="hybridMultilevel"/>
    <w:lvl w:ilvl="0">
      <w:lvlJc w:val="left"/>
      <w:lvlText w:val="1"/>
      <w:numFmt w:val="bullet"/>
      <w:start w:val="1"/>
    </w:lvl>
  </w:abstractNum>
  <w:abstractNum w:abstractNumId="11">
    <w:nsid w:val="431BD7B7"/>
    <w:multiLevelType w:val="hybridMultilevel"/>
    <w:lvl w:ilvl="0">
      <w:lvlJc w:val="left"/>
      <w:lvlText w:val="2"/>
      <w:numFmt w:val="bullet"/>
      <w:start w:val="1"/>
    </w:lvl>
  </w:abstractNum>
  <w:abstractNum w:abstractNumId="12">
    <w:nsid w:val="3F2DBA31"/>
    <w:multiLevelType w:val="hybridMultilevel"/>
    <w:lvl w:ilvl="0">
      <w:lvlJc w:val="left"/>
      <w:lvlText w:val="3"/>
      <w:numFmt w:val="bullet"/>
      <w:start w:val="1"/>
    </w:lvl>
  </w:abstractNum>
  <w:abstractNum w:abstractNumId="13">
    <w:nsid w:val="7C83E458"/>
    <w:multiLevelType w:val="hybridMultilevel"/>
    <w:lvl w:ilvl="0">
      <w:lvlJc w:val="left"/>
      <w:lvlText w:val="4"/>
      <w:numFmt w:val="bullet"/>
      <w:start w:val="1"/>
    </w:lvl>
  </w:abstractNum>
  <w:abstractNum w:abstractNumId="14">
    <w:nsid w:val="257130A3"/>
    <w:multiLevelType w:val="hybridMultilevel"/>
    <w:lvl w:ilvl="0">
      <w:lvlJc w:val="left"/>
      <w:lvlText w:val="5"/>
      <w:numFmt w:val="bullet"/>
      <w:start w:val="1"/>
    </w:lvl>
  </w:abstractNum>
  <w:abstractNum w:abstractNumId="15">
    <w:nsid w:val="62BBD95A"/>
    <w:multiLevelType w:val="hybridMultilevel"/>
    <w:lvl w:ilvl="0">
      <w:lvlJc w:val="left"/>
      <w:lvlText w:val="%1"/>
      <w:numFmt w:val="decimal"/>
      <w:start w:val="11"/>
    </w:lvl>
  </w:abstractNum>
  <w:abstractNum w:abstractNumId="16">
    <w:nsid w:val="436C6125"/>
    <w:multiLevelType w:val="hybridMultilevel"/>
    <w:lvl w:ilvl="0">
      <w:lvlJc w:val="left"/>
      <w:lvlText w:val="%1"/>
      <w:numFmt w:val="decimal"/>
      <w:start w:val="12"/>
    </w:lvl>
  </w:abstractNum>
  <w:abstractNum w:abstractNumId="17">
    <w:nsid w:val="628C895D"/>
    <w:multiLevelType w:val="hybridMultilevel"/>
    <w:lvl w:ilvl="0">
      <w:lvlJc w:val="left"/>
      <w:lvlText w:val="%1"/>
      <w:numFmt w:val="decimal"/>
      <w:start w:val="14"/>
    </w:lvl>
  </w:abstractNum>
  <w:abstractNum w:abstractNumId="18">
    <w:nsid w:val="333AB105"/>
    <w:multiLevelType w:val="hybridMultilevel"/>
    <w:lvl w:ilvl="0">
      <w:lvlJc w:val="left"/>
      <w:lvlText w:val="(%1)"/>
      <w:numFmt w:val="lowerLetter"/>
      <w:start w:val="4"/>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
      <w:numFmt w:val="bullet"/>
      <w:start w:val="1"/>
    </w:lvl>
    <w:lvl w:ilvl="1">
      <w:lvlJc w:val="left"/>
      <w:lvlText w:val="•"/>
      <w:numFmt w:val="bullet"/>
      <w:start w:val="1"/>
    </w:lvl>
  </w:abstractNum>
  <w:abstractNum w:abstractNumId="21">
    <w:nsid w:val="2D1D5AE9"/>
    <w:multiLevelType w:val="hybridMultilevel"/>
    <w:lvl w:ilvl="0">
      <w:lvlJc w:val="left"/>
      <w:lvlText w:val="(%1)"/>
      <w:numFmt w:val="lowerLetter"/>
      <w:start w:val="1"/>
    </w:lvl>
  </w:abstractNum>
  <w:abstractNum w:abstractNumId="22">
    <w:nsid w:val="6763845E"/>
    <w:multiLevelType w:val="hybridMultilevel"/>
    <w:lvl w:ilvl="0">
      <w:lvlJc w:val="left"/>
      <w:lvlText w:val="•"/>
      <w:numFmt w:val="bullet"/>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2019-12-08T22:40:13Z</dcterms:created>
  <dcterms:modified xsi:type="dcterms:W3CDTF">2019-12-08T22:40:13Z</dcterms:modified>
</cp:coreProperties>
</file>