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00" w:type="dxa"/>
            <w:vAlign w:val="bottom"/>
          </w:tcPr>
          <w:p>
            <w:pPr>
              <w:spacing w:after="0"/>
              <w:rPr>
                <w:sz w:val="20"/>
                <w:szCs w:val="20"/>
                <w:color w:val="auto"/>
              </w:rPr>
            </w:pPr>
          </w:p>
        </w:tc>
      </w:tr>
      <w:tr>
        <w:trPr>
          <w:trHeight w:val="518"/>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0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0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430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00" w:type="dxa"/>
            <w:vAlign w:val="bottom"/>
          </w:tcPr>
          <w:p>
            <w:pPr>
              <w:spacing w:after="0"/>
              <w:rPr>
                <w:sz w:val="20"/>
                <w:szCs w:val="20"/>
                <w:color w:val="auto"/>
              </w:rPr>
            </w:pPr>
          </w:p>
        </w:tc>
      </w:tr>
      <w:tr>
        <w:trPr>
          <w:trHeight w:val="432"/>
        </w:trPr>
        <w:tc>
          <w:tcPr>
            <w:tcW w:w="8040" w:type="dxa"/>
            <w:vAlign w:val="bottom"/>
            <w:gridSpan w:val="9"/>
          </w:tcPr>
          <w:p>
            <w:pPr>
              <w:jc w:val="center"/>
              <w:ind w:left="311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6, 2021</w:t>
            </w:r>
          </w:p>
        </w:tc>
        <w:tc>
          <w:tcPr>
            <w:tcW w:w="3200" w:type="dxa"/>
            <w:vAlign w:val="bottom"/>
          </w:tcPr>
          <w:p>
            <w:pPr>
              <w:spacing w:after="0"/>
              <w:rPr>
                <w:sz w:val="24"/>
                <w:szCs w:val="24"/>
                <w:color w:val="auto"/>
              </w:rPr>
            </w:pPr>
          </w:p>
        </w:tc>
      </w:tr>
      <w:tr>
        <w:trPr>
          <w:trHeight w:val="39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color w:val="auto"/>
              </w:rPr>
              <w:t>OptimizeRx Corporation</w:t>
            </w:r>
          </w:p>
        </w:tc>
        <w:tc>
          <w:tcPr>
            <w:tcW w:w="320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p>
        </w:tc>
        <w:tc>
          <w:tcPr>
            <w:tcW w:w="430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00" w:type="dxa"/>
            <w:vAlign w:val="bottom"/>
          </w:tcPr>
          <w:p>
            <w:pPr>
              <w:spacing w:after="0"/>
              <w:rPr>
                <w:sz w:val="20"/>
                <w:szCs w:val="20"/>
                <w:color w:val="auto"/>
              </w:rPr>
            </w:pPr>
          </w:p>
        </w:tc>
      </w:tr>
      <w:tr>
        <w:trPr>
          <w:trHeight w:val="439"/>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27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001-38543</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804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2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48307</w:t>
            </w:r>
          </w:p>
        </w:tc>
      </w:tr>
      <w:tr>
        <w:trPr>
          <w:trHeight w:val="234"/>
        </w:trPr>
        <w:tc>
          <w:tcPr>
            <w:tcW w:w="75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gridSpan w:val="2"/>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325755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33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January 6, 2021, we issued a press release announcing our invitation to present at the H.C. Wainwright’s BioConnect Conference being held virtually on January 11-14, 2021.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January 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168275</wp:posOffset>
            </wp:positionV>
            <wp:extent cx="3231515" cy="76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151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to Present at the H.C. Wainwright Virtual BioConnect Conference on January 11, 2021</w:t>
      </w:r>
    </w:p>
    <w:p>
      <w:pPr>
        <w:spacing w:after="0" w:line="37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Mich. – January 6, 2021 </w:t>
      </w:r>
      <w:r>
        <w:rPr>
          <w:rFonts w:ascii="Times New Roman" w:cs="Times New Roman" w:eastAsia="Times New Roman" w:hAnsi="Times New Roman"/>
          <w:sz w:val="18"/>
          <w:szCs w:val="18"/>
          <w:color w:val="auto"/>
        </w:rPr>
        <w:t>– OptimizeRx Corp. (Nasdaq: OPRX), a leading provider of digital health solutions for life science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physicians and patients, has been invited to present at H.C. Wainwright’s BioConnect Conference being held virtually on January 11-14, 2021.</w:t>
      </w:r>
    </w:p>
    <w:p>
      <w:pPr>
        <w:spacing w:after="0" w:line="15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company’s presentation will be available on-demand via the H.C. Wainwright conference portal here and in the investor relations section at investors.optimizerx.com beginning at 6:00 a.m. Eastern time on Monday, January 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CEO, William Febbo, will participate in virtual one-on-one meetings with institutional analysts and investors throughout the conference.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will discuss the company’s expanding addressable market due to the launch of new digital health solutions, and how an increasing number of enterprise-level, recurring revenue engagements are keeping the company on track for another year of record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generated $34.3 million in trailing 12-month revenue ended September 30, 2020, up 44% compared to the same year-ago period.</w:t>
      </w:r>
    </w:p>
    <w:p>
      <w:pPr>
        <w:spacing w:after="0" w:line="225" w:lineRule="exact"/>
        <w:rPr>
          <w:sz w:val="20"/>
          <w:szCs w:val="20"/>
          <w:color w:val="auto"/>
        </w:rPr>
      </w:pPr>
    </w:p>
    <w:p>
      <w:pPr>
        <w:ind w:right="1180"/>
        <w:spacing w:after="0" w:line="282" w:lineRule="auto"/>
        <w:rPr>
          <w:sz w:val="20"/>
          <w:szCs w:val="20"/>
          <w:color w:val="auto"/>
        </w:rPr>
      </w:pPr>
      <w:r>
        <w:rPr>
          <w:rFonts w:ascii="Times New Roman" w:cs="Times New Roman" w:eastAsia="Times New Roman" w:hAnsi="Times New Roman"/>
          <w:sz w:val="18"/>
          <w:szCs w:val="18"/>
          <w:color w:val="auto"/>
        </w:rPr>
        <w:t>Register for the conference here. To schedule a one-on-one meeting, please contact your H.C. Wainwright representative. For any questions about OptimizeRx, please contact Ron Both of CMA at (949) 432-7557 or submit your request here.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 Wainwright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H.C. Wainwright is a full-service investment bank dedicated to providing corporate finance, strategic advisory and related services to public and private companies across multiple sectors and regions. H.C. Wainwright &amp; Co. also provides research and sales and trading services to institutional investors. According to Sagient Research Systems, H.C. Wainwright’s team is ranked as the #1 Placement Agent in terms of aggregate CMPO (confidentially marketed public offering), RD (registered direct offering) and PIPE (private investment in public equity) executed cumulatively since 1998. For more information about H.C. Wainwright, visit www.hcwco.com.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139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2021-01-06T15:20:30Z</dcterms:created>
  <dcterms:modified xsi:type="dcterms:W3CDTF">2021-01-06T15:20:30Z</dcterms:modified>
</cp:coreProperties>
</file>