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rPr>
              <w:t>FORM 8-K</w:t>
            </w:r>
          </w:p>
        </w:tc>
        <w:tc>
          <w:tcPr>
            <w:tcW w:w="332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2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3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6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498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June 25, 2019</w:t>
            </w:r>
          </w:p>
        </w:tc>
        <w:tc>
          <w:tcPr>
            <w:tcW w:w="3320" w:type="dxa"/>
            <w:vAlign w:val="bottom"/>
          </w:tcPr>
          <w:p>
            <w:pPr>
              <w:spacing w:after="0"/>
              <w:rPr>
                <w:sz w:val="24"/>
                <w:szCs w:val="24"/>
                <w:color w:val="auto"/>
              </w:rPr>
            </w:pPr>
          </w:p>
        </w:tc>
      </w:tr>
      <w:tr>
        <w:trPr>
          <w:trHeight w:val="392"/>
        </w:trPr>
        <w:tc>
          <w:tcPr>
            <w:tcW w:w="3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8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60" w:type="dxa"/>
            <w:vAlign w:val="bottom"/>
            <w:gridSpan w:val="8"/>
          </w:tcPr>
          <w:p>
            <w:pPr>
              <w:jc w:val="center"/>
              <w:ind w:right="300"/>
              <w:spacing w:after="0"/>
              <w:rPr>
                <w:sz w:val="20"/>
                <w:szCs w:val="20"/>
                <w:color w:val="auto"/>
              </w:rPr>
            </w:pPr>
            <w:r>
              <w:rPr>
                <w:rFonts w:ascii="Arial" w:cs="Arial" w:eastAsia="Arial" w:hAnsi="Arial"/>
                <w:sz w:val="18"/>
                <w:szCs w:val="18"/>
                <w:color w:val="auto"/>
                <w:w w:val="90"/>
              </w:rPr>
              <w:t>(Exact name of registrant as specified in its charter)</w:t>
            </w:r>
          </w:p>
        </w:tc>
        <w:tc>
          <w:tcPr>
            <w:tcW w:w="3320" w:type="dxa"/>
            <w:vAlign w:val="bottom"/>
          </w:tcPr>
          <w:p>
            <w:pPr>
              <w:spacing w:after="0"/>
              <w:rPr>
                <w:sz w:val="20"/>
                <w:szCs w:val="20"/>
                <w:color w:val="auto"/>
              </w:rPr>
            </w:pPr>
          </w:p>
        </w:tc>
      </w:tr>
      <w:tr>
        <w:trPr>
          <w:trHeight w:val="453"/>
        </w:trPr>
        <w:tc>
          <w:tcPr>
            <w:tcW w:w="3120" w:type="dxa"/>
            <w:vAlign w:val="bottom"/>
          </w:tcPr>
          <w:p>
            <w:pPr>
              <w:jc w:val="center"/>
              <w:ind w:left="430"/>
              <w:spacing w:after="0"/>
              <w:rPr>
                <w:sz w:val="20"/>
                <w:szCs w:val="20"/>
                <w:color w:val="auto"/>
              </w:rPr>
            </w:pPr>
            <w:r>
              <w:rPr>
                <w:rFonts w:ascii="Arial" w:cs="Arial" w:eastAsia="Arial" w:hAnsi="Arial"/>
                <w:sz w:val="18"/>
                <w:szCs w:val="18"/>
                <w:color w:val="auto"/>
                <w:w w:val="90"/>
              </w:rPr>
              <w:t>Nevada</w:t>
            </w:r>
          </w:p>
        </w:tc>
        <w:tc>
          <w:tcPr>
            <w:tcW w:w="3500" w:type="dxa"/>
            <w:vAlign w:val="bottom"/>
            <w:gridSpan w:val="6"/>
          </w:tcPr>
          <w:p>
            <w:pPr>
              <w:jc w:val="center"/>
              <w:ind w:left="159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120" w:type="dxa"/>
            <w:vAlign w:val="bottom"/>
            <w:tcBorders>
              <w:top w:val="single" w:sz="8" w:color="auto"/>
            </w:tcBorders>
          </w:tcPr>
          <w:p>
            <w:pPr>
              <w:jc w:val="center"/>
              <w:ind w:left="450"/>
              <w:spacing w:after="0" w:line="201" w:lineRule="exact"/>
              <w:rPr>
                <w:sz w:val="20"/>
                <w:szCs w:val="20"/>
                <w:color w:val="auto"/>
              </w:rPr>
            </w:pPr>
            <w:r>
              <w:rPr>
                <w:rFonts w:ascii="Arial" w:cs="Arial" w:eastAsia="Arial" w:hAnsi="Arial"/>
                <w:sz w:val="18"/>
                <w:szCs w:val="18"/>
                <w:color w:val="auto"/>
                <w:w w:val="92"/>
              </w:rPr>
              <w:t>(State or other jurisdiction</w:t>
            </w: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20" w:type="dxa"/>
            <w:vAlign w:val="bottom"/>
          </w:tcPr>
          <w:p>
            <w:pPr>
              <w:jc w:val="center"/>
              <w:ind w:left="450"/>
              <w:spacing w:after="0"/>
              <w:rPr>
                <w:sz w:val="20"/>
                <w:szCs w:val="20"/>
                <w:color w:val="auto"/>
              </w:rPr>
            </w:pPr>
            <w:r>
              <w:rPr>
                <w:rFonts w:ascii="Arial" w:cs="Arial" w:eastAsia="Arial" w:hAnsi="Arial"/>
                <w:sz w:val="18"/>
                <w:szCs w:val="18"/>
                <w:color w:val="auto"/>
                <w:w w:val="93"/>
              </w:rPr>
              <w:t>of incorporation)</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00" w:type="dxa"/>
            <w:vAlign w:val="bottom"/>
            <w:gridSpan w:val="10"/>
          </w:tcPr>
          <w:p>
            <w:pPr>
              <w:jc w:val="center"/>
              <w:ind w:right="2500"/>
              <w:spacing w:after="0"/>
              <w:rPr>
                <w:sz w:val="20"/>
                <w:szCs w:val="20"/>
                <w:color w:val="auto"/>
              </w:rPr>
            </w:pPr>
            <w:r>
              <w:rPr>
                <w:rFonts w:ascii="Arial" w:cs="Arial" w:eastAsia="Arial" w:hAnsi="Arial"/>
                <w:sz w:val="18"/>
                <w:szCs w:val="18"/>
                <w:color w:val="auto"/>
                <w:w w:val="89"/>
              </w:rPr>
              <w:t>400 Water Street, Suite 200, Rochester, MI</w:t>
            </w:r>
          </w:p>
        </w:tc>
        <w:tc>
          <w:tcPr>
            <w:tcW w:w="33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58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289560</wp:posOffset>
            </wp:positionV>
            <wp:extent cx="3559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59"/>
        </w:trPr>
        <w:tc>
          <w:tcPr>
            <w:tcW w:w="440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8"/>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439"/>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25, 2019, we issued a press release about joining the Russell Microcap® and 3000® Indexes.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June 25,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25,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148590</wp:posOffset>
            </wp:positionV>
            <wp:extent cx="2280920" cy="540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092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OptimizeRx Set to Join Russell Microcap® and 3000® Indexes</w:t>
      </w:r>
    </w:p>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ROCHESTER, Mich. – June 25, 2019 – </w:t>
      </w:r>
      <w:r>
        <w:rPr>
          <w:rFonts w:ascii="Arial" w:cs="Arial" w:eastAsia="Arial" w:hAnsi="Arial"/>
          <w:sz w:val="18"/>
          <w:szCs w:val="18"/>
          <w:color w:val="auto"/>
        </w:rPr>
        <w:t>OptimizeRx Corp. (Nasdaq: OPRX), a leading platform for digital health messaging in the pharmaceutical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is expected to join the Russell Microcap® and 3000® Indexes at the conclusion of the 2019 Russell indexes annual reconstitution, effective after the U.S. market opens on July 1, according to a preliminary list of additions posted June 21.</w:t>
      </w:r>
    </w:p>
    <w:p>
      <w:pPr>
        <w:spacing w:after="0" w:line="18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Membership in the Russell Microcap and 3000 Indexes, which remains in place for one year, means automatic inclusion in the appropriate growth and value style indexes. FTSE Russell determines membership for its Russell indexes primarily by objective, market-capitalization rankings and style attributes.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honored to be included in the Russell Indexes,” said OptimizeRx CEO, William Febbo. “This marks a significant milestone in the growth and trajectory of our company, reflecting our record Q1 results, growing commercial team, and acquisition of CareSpeak. We expect our inclusion in these indexes to raise awareness of OptimizeRx across the investment community.”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Russell indexes are widely used by investment managers and institutional investors for index funds and as benchmarks for active investment strategies.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Approximately $9 trillion in assets are benchmarked against Russell’s US indexes. Russell indexes are part of FTSE Russell, a leading global index provider.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Russell indexes reconstitution, see the “Russell Reconstitution” section on the FTSE Russell website.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 industry, OptimizeRx provides a direct channel for pharma companies to communicate with healthcare providers right within their workflow.</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cloud-based solution supports patient adherence to medications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FTSE Russell</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FTSE Russell is a global index leader that provides innovative benchmarking, analytics and data solutions for investors worldwide. FTSE Russell calculates thousands of indexes that measure and benchmark markets and asset classes in more than 70 countries, covering 98% of the investable market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7"/>
          <w:szCs w:val="17"/>
          <w:color w:val="auto"/>
        </w:rPr>
        <w:t>FTSE Russell index expertise and products are used extensively by institutional and retail investors globally. Approximately $16 trillion is currently benchmarked to FTSE Russell indexes. For over 30 years, leading asset owners, asset managers, ETF providers and investment banks have chosen FTSE Russell indexes to benchmark their investment performance and create ETFs, structured products and index-based derivatives.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core set of universal principles guides FTSE Russell index design and management: a transparent rules-based methodology informed by independent committees of leading market participants. FTSE Russell is focused on applying the highest industry standards in index design and governance and embraces the IOSCO Principles. FTSE Russell is also focused on index innovation and customer partnerships as it seeks to enhance the breadth, depth and reach of its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FTSE Russell is wholly owned by London Stock Exchange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www.ftserussell.com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2019-12-28T10:42:48Z</dcterms:created>
  <dcterms:modified xsi:type="dcterms:W3CDTF">2019-12-28T10:42:48Z</dcterms:modified>
</cp:coreProperties>
</file>