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239" w:firstLine="8"/>
        <w:spacing w:after="0" w:line="279"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68401U204</w:t>
      </w:r>
    </w:p>
    <w:p>
      <w:pPr>
        <w:spacing w:after="0" w:line="4" w:lineRule="exact"/>
        <w:rPr>
          <w:sz w:val="24"/>
          <w:szCs w:val="24"/>
          <w:color w:val="auto"/>
        </w:rPr>
      </w:pPr>
    </w:p>
    <w:p>
      <w:pPr>
        <w:ind w:right="255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75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700,000**</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700,000**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7" w:lineRule="exact"/>
        <w:rPr>
          <w:sz w:val="24"/>
          <w:szCs w:val="24"/>
          <w:color w:val="auto"/>
        </w:rPr>
      </w:pPr>
    </w:p>
    <w:p>
      <w:pPr>
        <w:ind w:right="20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2"/>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6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38" w:orient="portrait"/>
          <w:cols w:equalWidth="0" w:num="1">
            <w:col w:w="10139"/>
          </w:cols>
          <w:pgMar w:left="320" w:top="244" w:right="1440" w:bottom="0" w:gutter="0" w:footer="0" w:header="0"/>
        </w:sectPr>
      </w:pPr>
    </w:p>
    <w:bookmarkStart w:id="1" w:name="page2"/>
    <w:bookmarkEnd w:id="1"/>
    <w:p>
      <w:pPr>
        <w:ind w:right="211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153,612 Shares of Common Stock of the Issuer (the Shares) held by CAYMAN, 415,666 Shares of Common Stock held by SSFQP and 130,722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400 Water Street-Suite 200, Rochester, MI 48307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3" w:lineRule="exact"/>
        <w:rPr>
          <w:sz w:val="20"/>
          <w:szCs w:val="20"/>
          <w:color w:val="auto"/>
        </w:rPr>
      </w:pPr>
    </w:p>
    <w:p>
      <w:pPr>
        <w:ind w:right="285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line="238" w:lineRule="auto"/>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700,000**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700,000**</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700,000**</w:t>
      </w:r>
    </w:p>
    <w:p>
      <w:pPr>
        <w:spacing w:after="0" w:line="207"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019" w:firstLine="8"/>
        <w:spacing w:after="0" w:line="279"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153,612 Shares of Common Stock of the Issuer (the Shares) held by CAYMAN, 415,666</w:t>
      </w:r>
    </w:p>
    <w:p>
      <w:pPr>
        <w:sectPr>
          <w:pgSz w:w="11900" w:h="16838" w:orient="portrait"/>
          <w:cols w:equalWidth="0" w:num="1">
            <w:col w:w="10139"/>
          </w:cols>
          <w:pgMar w:left="320" w:top="142" w:right="1440" w:bottom="0" w:gutter="0" w:footer="0" w:header="0"/>
        </w:sectPr>
      </w:pPr>
    </w:p>
    <w:bookmarkStart w:id="2" w:name="page3"/>
    <w:bookmarkEnd w:id="2"/>
    <w:p>
      <w:pPr>
        <w:ind w:right="2119"/>
        <w:spacing w:after="0" w:line="237" w:lineRule="auto"/>
        <w:rPr>
          <w:sz w:val="20"/>
          <w:szCs w:val="20"/>
          <w:color w:val="auto"/>
        </w:rPr>
      </w:pPr>
      <w:r>
        <w:rPr>
          <w:rFonts w:ascii="Courier New" w:cs="Courier New" w:eastAsia="Courier New" w:hAnsi="Courier New"/>
          <w:sz w:val="18"/>
          <w:szCs w:val="18"/>
          <w:color w:val="auto"/>
        </w:rPr>
        <w:t>Shares of Common Stock held by SSFQP and 130,722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1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__X__</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8,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Adam Stettner</w:t>
      </w:r>
    </w:p>
    <w:p>
      <w:pPr>
        <w:ind w:left="860"/>
        <w:spacing w:after="0" w:line="238" w:lineRule="auto"/>
        <w:rPr>
          <w:sz w:val="20"/>
          <w:szCs w:val="20"/>
          <w:color w:val="auto"/>
        </w:rPr>
      </w:pPr>
      <w:r>
        <w:rPr>
          <w:rFonts w:ascii="Courier New" w:cs="Courier New" w:eastAsia="Courier New" w:hAnsi="Courier New"/>
          <w:sz w:val="18"/>
          <w:szCs w:val="18"/>
          <w:color w:val="auto"/>
        </w:rPr>
        <w:t>Name: Adam Stettner</w:t>
      </w:r>
    </w:p>
    <w:p>
      <w:pPr>
        <w:ind w:left="8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5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2021-01-08T15:23:25Z</dcterms:created>
  <dcterms:modified xsi:type="dcterms:W3CDTF">2021-01-08T15:23:25Z</dcterms:modified>
</cp:coreProperties>
</file>