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 of Report (Date of Earliest Event Reported): March 14, 2023</w:t>
            </w:r>
          </w:p>
        </w:tc>
        <w:tc>
          <w:tcPr>
            <w:tcW w:w="2800" w:type="dxa"/>
            <w:vAlign w:val="bottom"/>
          </w:tcPr>
          <w:p>
            <w:pPr>
              <w:spacing w:after="0"/>
              <w:rPr>
                <w:sz w:val="20"/>
                <w:szCs w:val="20"/>
                <w:color w:val="auto"/>
              </w:rPr>
            </w:pPr>
          </w:p>
        </w:tc>
      </w:tr>
      <w:tr>
        <w:trPr>
          <w:trHeight w:val="418"/>
        </w:trPr>
        <w:tc>
          <w:tcPr>
            <w:tcW w:w="29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OptimizeRx Corporation</w:t>
            </w:r>
          </w:p>
        </w:tc>
        <w:tc>
          <w:tcPr>
            <w:tcW w:w="280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0"/>
              </w:rPr>
              <w:t>(Exact name of registrant as specified in charter)</w:t>
            </w:r>
          </w:p>
        </w:tc>
        <w:tc>
          <w:tcPr>
            <w:tcW w:w="2800" w:type="dxa"/>
            <w:vAlign w:val="bottom"/>
          </w:tcPr>
          <w:p>
            <w:pPr>
              <w:spacing w:after="0"/>
              <w:rPr>
                <w:sz w:val="20"/>
                <w:szCs w:val="20"/>
                <w:color w:val="auto"/>
              </w:rPr>
            </w:pPr>
          </w:p>
        </w:tc>
      </w:tr>
      <w:tr>
        <w:trPr>
          <w:trHeight w:val="432"/>
        </w:trPr>
        <w:tc>
          <w:tcPr>
            <w:tcW w:w="29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w w:val="90"/>
              </w:rPr>
              <w:t>Nevada</w:t>
            </w:r>
          </w:p>
        </w:tc>
        <w:tc>
          <w:tcPr>
            <w:tcW w:w="5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001-38543</w:t>
            </w:r>
          </w:p>
        </w:tc>
        <w:tc>
          <w:tcPr>
            <w:tcW w:w="28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26-1265381</w:t>
            </w:r>
          </w:p>
        </w:tc>
      </w:tr>
      <w:tr>
        <w:trPr>
          <w:trHeight w:val="195"/>
        </w:trPr>
        <w:tc>
          <w:tcPr>
            <w:tcW w:w="2960" w:type="dxa"/>
            <w:vAlign w:val="bottom"/>
          </w:tcPr>
          <w:p>
            <w:pPr>
              <w:jc w:val="center"/>
              <w:ind w:left="690"/>
              <w:spacing w:after="0" w:line="195" w:lineRule="exact"/>
              <w:rPr>
                <w:sz w:val="20"/>
                <w:szCs w:val="20"/>
                <w:color w:val="auto"/>
              </w:rPr>
            </w:pPr>
            <w:r>
              <w:rPr>
                <w:rFonts w:ascii="Arial" w:cs="Arial" w:eastAsia="Arial" w:hAnsi="Arial"/>
                <w:sz w:val="18"/>
                <w:szCs w:val="18"/>
                <w:color w:val="auto"/>
                <w:w w:val="92"/>
              </w:rPr>
              <w:t>(State or other jurisdiction</w:t>
            </w:r>
          </w:p>
        </w:tc>
        <w:tc>
          <w:tcPr>
            <w:tcW w:w="54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(Commission File Number)</w:t>
            </w:r>
          </w:p>
        </w:tc>
        <w:tc>
          <w:tcPr>
            <w:tcW w:w="2800" w:type="dxa"/>
            <w:vAlign w:val="bottom"/>
          </w:tcPr>
          <w:p>
            <w:pPr>
              <w:jc w:val="center"/>
              <w:ind w:right="810"/>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2960" w:type="dxa"/>
            <w:vAlign w:val="bottom"/>
          </w:tcPr>
          <w:p>
            <w:pPr>
              <w:jc w:val="center"/>
              <w:ind w:left="690"/>
              <w:spacing w:after="0"/>
              <w:rPr>
                <w:sz w:val="20"/>
                <w:szCs w:val="20"/>
                <w:color w:val="auto"/>
              </w:rPr>
            </w:pPr>
            <w:r>
              <w:rPr>
                <w:rFonts w:ascii="Arial" w:cs="Arial" w:eastAsia="Arial" w:hAnsi="Arial"/>
                <w:sz w:val="18"/>
                <w:szCs w:val="18"/>
                <w:color w:val="auto"/>
                <w:w w:val="93"/>
              </w:rPr>
              <w:t>of incorporation)</w:t>
            </w:r>
          </w:p>
        </w:tc>
        <w:tc>
          <w:tcPr>
            <w:tcW w:w="5480" w:type="dxa"/>
            <w:vAlign w:val="bottom"/>
          </w:tcPr>
          <w:p>
            <w:pPr>
              <w:spacing w:after="0"/>
              <w:rPr>
                <w:sz w:val="20"/>
                <w:szCs w:val="20"/>
                <w:color w:val="auto"/>
              </w:rPr>
            </w:pPr>
          </w:p>
        </w:tc>
        <w:tc>
          <w:tcPr>
            <w:tcW w:w="2800" w:type="dxa"/>
            <w:vAlign w:val="bottom"/>
          </w:tcPr>
          <w:p>
            <w:pPr>
              <w:jc w:val="center"/>
              <w:ind w:right="8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8440" w:type="dxa"/>
            <w:vAlign w:val="bottom"/>
            <w:tcBorders>
              <w:bottom w:val="single" w:sz="8" w:color="auto"/>
            </w:tcBorders>
            <w:gridSpan w:val="2"/>
          </w:tcPr>
          <w:p>
            <w:pPr>
              <w:jc w:val="center"/>
              <w:ind w:right="79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280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b w:val="1"/>
                <w:bCs w:val="1"/>
                <w:color w:val="auto"/>
              </w:rPr>
              <w:t>48307</w:t>
            </w:r>
          </w:p>
        </w:tc>
      </w:tr>
      <w:tr>
        <w:trPr>
          <w:trHeight w:val="224"/>
        </w:trPr>
        <w:tc>
          <w:tcPr>
            <w:tcW w:w="8440" w:type="dxa"/>
            <w:vAlign w:val="bottom"/>
            <w:gridSpan w:val="2"/>
          </w:tcPr>
          <w:p>
            <w:pPr>
              <w:jc w:val="center"/>
              <w:ind w:right="810"/>
              <w:spacing w:after="0"/>
              <w:rPr>
                <w:sz w:val="20"/>
                <w:szCs w:val="20"/>
                <w:color w:val="auto"/>
              </w:rPr>
            </w:pPr>
            <w:r>
              <w:rPr>
                <w:rFonts w:ascii="Arial" w:cs="Arial" w:eastAsia="Arial" w:hAnsi="Arial"/>
                <w:sz w:val="18"/>
                <w:szCs w:val="18"/>
                <w:color w:val="auto"/>
                <w:w w:val="92"/>
              </w:rPr>
              <w:t>(Address of principal executive offices)</w:t>
            </w:r>
          </w:p>
        </w:tc>
        <w:tc>
          <w:tcPr>
            <w:tcW w:w="2800" w:type="dxa"/>
            <w:vAlign w:val="bottom"/>
          </w:tcPr>
          <w:p>
            <w:pPr>
              <w:jc w:val="center"/>
              <w:ind w:right="810"/>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3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221E1F"/>
                <w:w w:val="95"/>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5040" w:type="dxa"/>
            <w:vAlign w:val="bottom"/>
          </w:tcPr>
          <w:p>
            <w:pPr>
              <w:spacing w:after="0"/>
              <w:rPr>
                <w:sz w:val="24"/>
                <w:szCs w:val="24"/>
                <w:color w:val="auto"/>
              </w:rPr>
            </w:pPr>
          </w:p>
        </w:tc>
      </w:tr>
      <w:tr>
        <w:trPr>
          <w:trHeight w:val="234"/>
        </w:trPr>
        <w:tc>
          <w:tcPr>
            <w:tcW w:w="4400" w:type="dxa"/>
            <w:vAlign w:val="bottom"/>
            <w:gridSpan w:val="2"/>
          </w:tcPr>
          <w:p>
            <w:pPr>
              <w:ind w:left="1480"/>
              <w:spacing w:after="0"/>
              <w:rPr>
                <w:sz w:val="20"/>
                <w:szCs w:val="20"/>
                <w:color w:val="auto"/>
              </w:rPr>
            </w:pPr>
            <w:r>
              <w:rPr>
                <w:rFonts w:ascii="Arial" w:cs="Arial" w:eastAsia="Arial" w:hAnsi="Arial"/>
                <w:sz w:val="18"/>
                <w:szCs w:val="18"/>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9"/>
        </w:trPr>
        <w:tc>
          <w:tcPr>
            <w:tcW w:w="4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Common Stock, $0.001 Par Value</w:t>
            </w:r>
          </w:p>
        </w:tc>
        <w:tc>
          <w:tcPr>
            <w:tcW w:w="1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OPRX</w:t>
            </w:r>
          </w:p>
        </w:tc>
        <w:tc>
          <w:tcPr>
            <w:tcW w:w="120" w:type="dxa"/>
            <w:vAlign w:val="bottom"/>
          </w:tcPr>
          <w:p>
            <w:pPr>
              <w:spacing w:after="0"/>
              <w:rPr>
                <w:sz w:val="18"/>
                <w:szCs w:val="18"/>
                <w:color w:val="auto"/>
              </w:rPr>
            </w:pPr>
          </w:p>
        </w:tc>
        <w:tc>
          <w:tcPr>
            <w:tcW w:w="5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ind w:right="52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March 14, 2023, OptimizeRx Corporation (the “Company”) announced that its Board of Directors has authorized the repurchase of up to $15 million of the Company’s outstanding common stock. Under this new program, share repurchases may be made from time to time depending on market conditions, share price and availability and other factors at the Company’s discretion. This stock repurchase authorization expires on the earlier of March 12, 2024, or when the repurchase of $15 million of shares of its common stock has been reached.</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Company’s repurchase of shares will take place in open market transactions or privately negotiated transactions in accordance with applicable securities and other laws, including the Securities Exchange Act of 1934. The Company intends to finance the purchase using its available cash and cash equivalents. The Board may modify, suspend, extend or terminate the repurchase program at any time.</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Current Report on Form 8-K contains forward-looking statements made pursuant to the safe harbor provisions of the Private Securities Litigation Reform Act of 1995, including forward-looking statements regarding the repurchase program. These statements are neither promises or guarantees and involve risks and uncertainties that could cause actual results to differ materially from those stated or implied by the forward-looking statements, including, without limitation, risks relating to the Company’s ability to implement and make appropriate, timely and beneficial decisions as to when, how and if to purchase shares under the repurchase program; and other risks described in the Company’s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OPTIMIZERX CORPORATION</w:t>
            </w:r>
          </w:p>
        </w:tc>
      </w:tr>
      <w:tr>
        <w:trPr>
          <w:trHeight w:val="864"/>
        </w:trPr>
        <w:tc>
          <w:tcPr>
            <w:tcW w:w="3620" w:type="dxa"/>
            <w:vAlign w:val="bottom"/>
          </w:tcPr>
          <w:p>
            <w:pPr>
              <w:spacing w:after="0"/>
              <w:rPr>
                <w:sz w:val="20"/>
                <w:szCs w:val="20"/>
                <w:color w:val="auto"/>
              </w:rPr>
            </w:pPr>
            <w:r>
              <w:rPr>
                <w:rFonts w:ascii="Arial" w:cs="Arial" w:eastAsia="Arial" w:hAnsi="Arial"/>
                <w:sz w:val="18"/>
                <w:szCs w:val="18"/>
                <w:color w:val="auto"/>
              </w:rPr>
              <w:t>Date: March 14, 2023</w:t>
            </w:r>
          </w:p>
        </w:tc>
        <w:tc>
          <w:tcPr>
            <w:tcW w:w="2800" w:type="dxa"/>
            <w:vAlign w:val="bottom"/>
          </w:tcPr>
          <w:p>
            <w:pPr>
              <w:ind w:left="202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Marion Odence-Ford</w:t>
            </w:r>
          </w:p>
        </w:tc>
      </w:tr>
      <w:tr>
        <w:trPr>
          <w:trHeight w:val="182"/>
        </w:trPr>
        <w:tc>
          <w:tcPr>
            <w:tcW w:w="3620" w:type="dxa"/>
            <w:vAlign w:val="bottom"/>
          </w:tcPr>
          <w:p>
            <w:pPr>
              <w:spacing w:after="0"/>
              <w:rPr>
                <w:sz w:val="15"/>
                <w:szCs w:val="15"/>
                <w:color w:val="auto"/>
              </w:rPr>
            </w:pPr>
          </w:p>
        </w:tc>
        <w:tc>
          <w:tcPr>
            <w:tcW w:w="2800" w:type="dxa"/>
            <w:vAlign w:val="bottom"/>
          </w:tcPr>
          <w:p>
            <w:pPr>
              <w:ind w:left="2020"/>
              <w:spacing w:after="0" w:line="182"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82" w:lineRule="exact"/>
              <w:rPr>
                <w:sz w:val="20"/>
                <w:szCs w:val="20"/>
                <w:color w:val="auto"/>
              </w:rPr>
            </w:pPr>
            <w:r>
              <w:rPr>
                <w:rFonts w:ascii="Arial" w:cs="Arial" w:eastAsia="Arial" w:hAnsi="Arial"/>
                <w:sz w:val="18"/>
                <w:szCs w:val="18"/>
                <w:color w:val="auto"/>
              </w:rPr>
              <w:t>Marion Odence-Ford</w:t>
            </w:r>
          </w:p>
        </w:tc>
      </w:tr>
      <w:tr>
        <w:trPr>
          <w:trHeight w:val="244"/>
        </w:trPr>
        <w:tc>
          <w:tcPr>
            <w:tcW w:w="3620" w:type="dxa"/>
            <w:vAlign w:val="bottom"/>
          </w:tcPr>
          <w:p>
            <w:pPr>
              <w:spacing w:after="0"/>
              <w:rPr>
                <w:sz w:val="21"/>
                <w:szCs w:val="21"/>
                <w:color w:val="auto"/>
              </w:rPr>
            </w:pPr>
          </w:p>
        </w:tc>
        <w:tc>
          <w:tcPr>
            <w:tcW w:w="2800" w:type="dxa"/>
            <w:vAlign w:val="bottom"/>
          </w:tcPr>
          <w:p>
            <w:pPr>
              <w:ind w:left="2020"/>
              <w:spacing w:after="0"/>
              <w:rPr>
                <w:sz w:val="20"/>
                <w:szCs w:val="20"/>
                <w:color w:val="auto"/>
              </w:rPr>
            </w:pPr>
            <w:r>
              <w:rPr>
                <w:rFonts w:ascii="Arial" w:cs="Arial" w:eastAsia="Arial" w:hAnsi="Arial"/>
                <w:sz w:val="18"/>
                <w:szCs w:val="18"/>
                <w:color w:val="auto"/>
              </w:rPr>
              <w:t>Title:</w:t>
            </w:r>
          </w:p>
        </w:tc>
        <w:tc>
          <w:tcPr>
            <w:tcW w:w="482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574"/>
        </w:trPr>
        <w:tc>
          <w:tcPr>
            <w:tcW w:w="36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2023-03-14T16:28:53Z</dcterms:created>
  <dcterms:modified xsi:type="dcterms:W3CDTF">2023-03-14T16:28:53Z</dcterms:modified>
</cp:coreProperties>
</file>