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20" w:type="dxa"/>
            <w:vAlign w:val="bottom"/>
            <w:gridSpan w:val="8"/>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9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0" w:type="dxa"/>
            <w:vAlign w:val="bottom"/>
            <w:gridSpan w:val="11"/>
          </w:tcPr>
          <w:p>
            <w:pPr>
              <w:jc w:val="center"/>
              <w:ind w:left="150"/>
              <w:spacing w:after="0"/>
              <w:rPr>
                <w:sz w:val="20"/>
                <w:szCs w:val="20"/>
                <w:color w:val="auto"/>
              </w:rPr>
            </w:pPr>
            <w:r>
              <w:rPr>
                <w:rFonts w:ascii="Arial" w:cs="Arial" w:eastAsia="Arial" w:hAnsi="Arial"/>
                <w:sz w:val="18"/>
                <w:szCs w:val="18"/>
                <w:color w:val="auto"/>
                <w:w w:val="90"/>
              </w:rPr>
              <w:t>Date of Report (Date of earliest event reported): September 21, 2016</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560"/>
              <w:spacing w:after="0"/>
              <w:rPr>
                <w:sz w:val="20"/>
                <w:szCs w:val="20"/>
                <w:color w:val="auto"/>
              </w:rPr>
            </w:pPr>
            <w:r>
              <w:rPr>
                <w:rFonts w:ascii="Arial" w:cs="Arial" w:eastAsia="Arial" w:hAnsi="Arial"/>
                <w:sz w:val="18"/>
                <w:szCs w:val="18"/>
                <w:color w:val="auto"/>
                <w:w w:val="90"/>
              </w:rPr>
              <w:t>(Exact name of registrant as specified in its charter)</w:t>
            </w: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298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Nevada</w:t>
            </w:r>
          </w:p>
        </w:tc>
        <w:tc>
          <w:tcPr>
            <w:tcW w:w="3620" w:type="dxa"/>
            <w:vAlign w:val="bottom"/>
            <w:gridSpan w:val="8"/>
          </w:tcPr>
          <w:p>
            <w:pPr>
              <w:jc w:val="center"/>
              <w:ind w:left="171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26-1265381</w:t>
            </w:r>
          </w:p>
        </w:tc>
      </w:tr>
      <w:tr>
        <w:trPr>
          <w:trHeight w:val="202"/>
        </w:trPr>
        <w:tc>
          <w:tcPr>
            <w:tcW w:w="20" w:type="dxa"/>
            <w:vAlign w:val="bottom"/>
          </w:tcPr>
          <w:p>
            <w:pPr>
              <w:spacing w:after="0"/>
              <w:rPr>
                <w:sz w:val="17"/>
                <w:szCs w:val="17"/>
                <w:color w:val="auto"/>
              </w:rPr>
            </w:pPr>
          </w:p>
        </w:tc>
        <w:tc>
          <w:tcPr>
            <w:tcW w:w="2980" w:type="dxa"/>
            <w:vAlign w:val="bottom"/>
            <w:tcBorders>
              <w:top w:val="single" w:sz="8" w:color="auto"/>
            </w:tcBorders>
            <w:gridSpan w:val="2"/>
          </w:tcPr>
          <w:p>
            <w:pPr>
              <w:jc w:val="center"/>
              <w:ind w:left="550"/>
              <w:spacing w:after="0" w:line="201" w:lineRule="exact"/>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top w:val="single" w:sz="8" w:color="auto"/>
            </w:tcBorders>
            <w:gridSpan w:val="6"/>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2"/>
          </w:tcPr>
          <w:p>
            <w:pPr>
              <w:jc w:val="center"/>
              <w:ind w:right="48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0" w:type="dxa"/>
            <w:vAlign w:val="bottom"/>
          </w:tcPr>
          <w:p>
            <w:pPr>
              <w:spacing w:after="0"/>
              <w:rPr>
                <w:sz w:val="20"/>
                <w:szCs w:val="20"/>
                <w:color w:val="auto"/>
              </w:rPr>
            </w:pPr>
          </w:p>
        </w:tc>
        <w:tc>
          <w:tcPr>
            <w:tcW w:w="2980" w:type="dxa"/>
            <w:vAlign w:val="bottom"/>
            <w:gridSpan w:val="2"/>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20" w:type="dxa"/>
            <w:vAlign w:val="bottom"/>
          </w:tcPr>
          <w:p>
            <w:pPr>
              <w:spacing w:after="0"/>
              <w:rPr>
                <w:sz w:val="24"/>
                <w:szCs w:val="24"/>
                <w:color w:val="auto"/>
              </w:rPr>
            </w:pPr>
          </w:p>
        </w:tc>
        <w:tc>
          <w:tcPr>
            <w:tcW w:w="8180" w:type="dxa"/>
            <w:vAlign w:val="bottom"/>
            <w:gridSpan w:val="13"/>
          </w:tcPr>
          <w:p>
            <w:pPr>
              <w:jc w:val="center"/>
              <w:ind w:right="2620"/>
              <w:spacing w:after="0"/>
              <w:rPr>
                <w:sz w:val="20"/>
                <w:szCs w:val="20"/>
                <w:color w:val="auto"/>
              </w:rPr>
            </w:pPr>
            <w:r>
              <w:rPr>
                <w:rFonts w:ascii="Arial" w:cs="Arial" w:eastAsia="Arial" w:hAnsi="Arial"/>
                <w:sz w:val="18"/>
                <w:szCs w:val="18"/>
                <w:color w:val="auto"/>
                <w:w w:val="89"/>
              </w:rPr>
              <w:t>400 Water Street, Suite 200, Rochester, MI</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48307</w:t>
            </w:r>
          </w:p>
        </w:tc>
        <w:tc>
          <w:tcPr>
            <w:tcW w:w="22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560" w:type="dxa"/>
            <w:vAlign w:val="bottom"/>
            <w:tcBorders>
              <w:top w:val="single" w:sz="8" w:color="auto"/>
            </w:tcBorders>
            <w:gridSpan w:val="8"/>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gridSpan w:val="2"/>
          </w:tcPr>
          <w:p>
            <w:pPr>
              <w:jc w:val="center"/>
              <w:ind w:right="2380"/>
              <w:spacing w:after="0"/>
              <w:rPr>
                <w:sz w:val="20"/>
                <w:szCs w:val="20"/>
                <w:color w:val="auto"/>
              </w:rPr>
            </w:pPr>
            <w:r>
              <w:rPr>
                <w:rFonts w:ascii="Arial" w:cs="Arial" w:eastAsia="Arial" w:hAnsi="Arial"/>
                <w:sz w:val="18"/>
                <w:szCs w:val="18"/>
                <w:color w:val="auto"/>
                <w:w w:val="94"/>
              </w:rPr>
              <w:t>(Zip Code)</w:t>
            </w:r>
          </w:p>
        </w:tc>
      </w:tr>
      <w:tr>
        <w:trPr>
          <w:trHeight w:val="377"/>
        </w:trPr>
        <w:tc>
          <w:tcPr>
            <w:tcW w:w="8200" w:type="dxa"/>
            <w:vAlign w:val="bottom"/>
            <w:gridSpan w:val="14"/>
          </w:tcPr>
          <w:p>
            <w:pPr>
              <w:spacing w:after="0"/>
              <w:rPr>
                <w:sz w:val="20"/>
                <w:szCs w:val="20"/>
                <w:color w:val="auto"/>
              </w:rPr>
            </w:pPr>
            <w:r>
              <w:rPr>
                <w:rFonts w:ascii="Arial" w:cs="Arial" w:eastAsia="Arial" w:hAnsi="Arial"/>
                <w:sz w:val="18"/>
                <w:szCs w:val="18"/>
                <w:color w:val="auto"/>
              </w:rPr>
              <w:t>Registrant’s telephone number, including area code: 248.651.6568</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0" w:type="dxa"/>
            <w:vAlign w:val="bottom"/>
            <w:gridSpan w:val="11"/>
          </w:tcPr>
          <w:p>
            <w:pPr>
              <w:jc w:val="center"/>
              <w:ind w:left="13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21, 2016, our Board of Directors adopted a charter for our newly created Nominating and Governance Committee (the “Committee”). The Committee is responsible for the oversight of our director nominations process, including recommending nominees to the Board of Directors for approval and for the development and maintenance of our corporate governance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appointed the following persons to the Committee: Lynn Vos, Gus Halas and Jack Pinney, with Mr. Halas serving as Chairperson.</w:t>
      </w:r>
    </w:p>
    <w:p>
      <w:pPr>
        <w:spacing w:after="0" w:line="24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 xml:space="preserve">A copy of the Nominating and Governance Committee Charter is attached hereto as Exhibit 99.1 and will be posted on our corporate website at </w:t>
      </w:r>
      <w:r>
        <w:rPr>
          <w:rFonts w:ascii="Arial" w:cs="Arial" w:eastAsia="Arial" w:hAnsi="Arial"/>
          <w:sz w:val="18"/>
          <w:szCs w:val="18"/>
          <w:u w:val="single" w:color="auto"/>
          <w:color w:val="auto"/>
        </w:rPr>
        <w:t>www.optimizerxcorp.com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Nominating and Governance Committee Charter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September 23, 2016</w:t>
      </w:r>
      <w:r>
        <w:rPr>
          <w:sz w:val="20"/>
          <w:szCs w:val="20"/>
          <w:color w:val="auto"/>
        </w:rPr>
        <w:tab/>
      </w:r>
      <w:r>
        <w:rPr>
          <w:rFonts w:ascii="Arial" w:cs="Arial" w:eastAsia="Arial" w:hAnsi="Arial"/>
          <w:sz w:val="16"/>
          <w:szCs w:val="16"/>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GOVERNANCE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EMBERSHIP</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Nominating and Governance Committee (the “</w:t>
      </w:r>
      <w:r>
        <w:rPr>
          <w:rFonts w:ascii="Arial" w:cs="Arial" w:eastAsia="Arial" w:hAnsi="Arial"/>
          <w:sz w:val="17"/>
          <w:szCs w:val="17"/>
          <w:u w:val="single" w:color="auto"/>
          <w:color w:val="auto"/>
        </w:rPr>
        <w:t>Committee</w:t>
      </w:r>
      <w:r>
        <w:rPr>
          <w:rFonts w:ascii="Arial" w:cs="Arial" w:eastAsia="Arial" w:hAnsi="Arial"/>
          <w:sz w:val="17"/>
          <w:szCs w:val="17"/>
          <w:color w:val="auto"/>
        </w:rPr>
        <w:t>”) of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OptimizeRx Corp. (the “</w:t>
      </w:r>
      <w:r>
        <w:rPr>
          <w:rFonts w:ascii="Arial" w:cs="Arial" w:eastAsia="Arial" w:hAnsi="Arial"/>
          <w:sz w:val="17"/>
          <w:szCs w:val="17"/>
          <w:u w:val="single" w:color="auto"/>
          <w:color w:val="auto"/>
        </w:rPr>
        <w:t>Company</w:t>
      </w:r>
      <w:r>
        <w:rPr>
          <w:rFonts w:ascii="Arial" w:cs="Arial" w:eastAsia="Arial" w:hAnsi="Arial"/>
          <w:sz w:val="17"/>
          <w:szCs w:val="17"/>
          <w:color w:val="auto"/>
        </w:rPr>
        <w:t>”) shall consist of two or more directors. Each member of the Committee shall be independent in accordance with the rules of the NASDAQ Stock Market.</w:t>
      </w:r>
    </w:p>
    <w:p>
      <w:pPr>
        <w:spacing w:after="0" w:line="14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members of the Committee shall be appointed by the Board. The members of the Committee shall serve for such term or terms as the Board may determine or until earlier resignation or death. The Board may remove any member from the Committee at any time with or without cause.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URPOSE</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purpose of the Committee is to carry out the responsibilities delegated by the Board relating to the Company’s director nominations process and procedures, developing and maintaining the Company’s corporate governance policies and any related matters required by the federal securities laws and provide oversight for the evaluation of the performance of the Board and its committees.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UTIES AND</w:t>
      </w:r>
      <w:r>
        <w:rPr>
          <w:rFonts w:ascii="Arial" w:cs="Arial" w:eastAsia="Arial" w:hAnsi="Arial"/>
          <w:sz w:val="18"/>
          <w:szCs w:val="18"/>
          <w:b w:val="1"/>
          <w:bCs w:val="1"/>
          <w:u w:val="single" w:color="auto"/>
          <w:color w:val="auto"/>
        </w:rPr>
        <w:t xml:space="preserve"> R</w:t>
      </w:r>
      <w:r>
        <w:rPr>
          <w:rFonts w:ascii="Arial" w:cs="Arial" w:eastAsia="Arial" w:hAnsi="Arial"/>
          <w:sz w:val="12"/>
          <w:szCs w:val="12"/>
          <w:b w:val="1"/>
          <w:bCs w:val="1"/>
          <w:u w:val="single" w:color="auto"/>
          <w:color w:val="auto"/>
        </w:rPr>
        <w:t>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have the following authority and responsibilities:</w:t>
      </w:r>
    </w:p>
    <w:p>
      <w:pPr>
        <w:spacing w:after="0" w:line="225" w:lineRule="exact"/>
        <w:rPr>
          <w:sz w:val="20"/>
          <w:szCs w:val="20"/>
          <w:color w:val="auto"/>
        </w:rPr>
      </w:pPr>
    </w:p>
    <w:p>
      <w:pPr>
        <w:ind w:right="80" w:firstLine="656"/>
        <w:spacing w:after="0" w:line="342" w:lineRule="auto"/>
        <w:tabs>
          <w:tab w:leader="none" w:pos="89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identify and screen individuals qualified to become members of the Board, consistent with criteria approved by the Board. The Committee shall consider any director candidates recommended by the Company’s stockholders pursuant to the procedures described in the Company’s proxy statement.</w:t>
      </w:r>
    </w:p>
    <w:p>
      <w:pPr>
        <w:spacing w:after="0" w:line="123" w:lineRule="exact"/>
        <w:rPr>
          <w:rFonts w:ascii="Arial" w:cs="Arial" w:eastAsia="Arial" w:hAnsi="Arial"/>
          <w:sz w:val="16"/>
          <w:szCs w:val="16"/>
          <w:color w:val="auto"/>
        </w:rPr>
      </w:pPr>
    </w:p>
    <w:p>
      <w:pPr>
        <w:ind w:right="40" w:firstLine="65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make recommendations to the Board regarding the selection and approval of the nominees for director to be submitted to a stockholder vote at the annual meeting of stockholders.</w:t>
      </w:r>
    </w:p>
    <w:p>
      <w:pPr>
        <w:spacing w:after="0" w:line="170" w:lineRule="exact"/>
        <w:rPr>
          <w:rFonts w:ascii="Arial" w:cs="Arial" w:eastAsia="Arial" w:hAnsi="Arial"/>
          <w:sz w:val="18"/>
          <w:szCs w:val="18"/>
          <w:color w:val="auto"/>
        </w:rPr>
      </w:pPr>
    </w:p>
    <w:p>
      <w:pPr>
        <w:ind w:right="180" w:firstLine="656"/>
        <w:spacing w:after="0" w:line="312" w:lineRule="auto"/>
        <w:tabs>
          <w:tab w:leader="none" w:pos="89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develop and recommend to the Board a set of corporate governance guidelines applicable to the Company, to review these principles at least once a year and to recommend any changes to the Board, and to oversee the Company’s corporate governance practices, including reviewing and recommending to the Board for approval any changes to the other documents and policies in the Company’s corporate governance framework.</w:t>
      </w:r>
    </w:p>
    <w:p>
      <w:pPr>
        <w:spacing w:after="0" w:line="146" w:lineRule="exact"/>
        <w:rPr>
          <w:rFonts w:ascii="Arial" w:cs="Arial" w:eastAsia="Arial" w:hAnsi="Arial"/>
          <w:sz w:val="16"/>
          <w:szCs w:val="16"/>
          <w:color w:val="auto"/>
        </w:rPr>
      </w:pPr>
    </w:p>
    <w:p>
      <w:pPr>
        <w:ind w:left="900" w:hanging="244"/>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oversee the process developed by the Board for an annual evaluation of the Board and its committees and the conduct of this annual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evaluation.</w:t>
      </w:r>
    </w:p>
    <w:p>
      <w:pPr>
        <w:spacing w:after="0" w:line="210" w:lineRule="exact"/>
        <w:rPr>
          <w:rFonts w:ascii="Arial" w:cs="Arial" w:eastAsia="Arial" w:hAnsi="Arial"/>
          <w:sz w:val="17"/>
          <w:szCs w:val="17"/>
          <w:color w:val="auto"/>
        </w:rPr>
      </w:pPr>
    </w:p>
    <w:p>
      <w:pPr>
        <w:ind w:right="20" w:firstLine="656"/>
        <w:spacing w:after="0" w:line="277" w:lineRule="auto"/>
        <w:tabs>
          <w:tab w:leader="none" w:pos="89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review the Board’s committee structure and composition and to make recommendations to the Board regarding the appointment of directors to serve as members of each committee and committee chairpersons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0" w:firstLine="656"/>
        <w:spacing w:after="0" w:line="277" w:lineRule="auto"/>
        <w:tabs>
          <w:tab w:leader="none" w:pos="8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vacancy on the Board and/or any Board committee occurs, to identify and make recommendations to the Board regarding the selection and approval of candidates to fill such vacancy either by election by stockholders or appointment by the Board.</w:t>
      </w:r>
    </w:p>
    <w:p>
      <w:pPr>
        <w:spacing w:after="0" w:line="170" w:lineRule="exact"/>
        <w:rPr>
          <w:rFonts w:ascii="Arial" w:cs="Arial" w:eastAsia="Arial" w:hAnsi="Arial"/>
          <w:sz w:val="18"/>
          <w:szCs w:val="18"/>
          <w:color w:val="auto"/>
        </w:rPr>
      </w:pPr>
    </w:p>
    <w:p>
      <w:pPr>
        <w:ind w:right="40" w:firstLine="65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review and discuss with management the disclosure regarding the operations of the Committee and director independence, and to recommend that this disclosure be included in the Company’s proxy statement or annual report on Form 10-K, as applicable.</w:t>
      </w:r>
    </w:p>
    <w:p>
      <w:pPr>
        <w:spacing w:after="0" w:line="170" w:lineRule="exact"/>
        <w:rPr>
          <w:rFonts w:ascii="Arial" w:cs="Arial" w:eastAsia="Arial" w:hAnsi="Arial"/>
          <w:sz w:val="18"/>
          <w:szCs w:val="18"/>
          <w:color w:val="auto"/>
        </w:rPr>
      </w:pPr>
    </w:p>
    <w:p>
      <w:pPr>
        <w:ind w:right="40" w:firstLine="65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monitor compliance with the Company’s Code of Business Conduct and Ethics (the “</w:t>
      </w:r>
      <w:r>
        <w:rPr>
          <w:rFonts w:ascii="Arial" w:cs="Arial" w:eastAsia="Arial" w:hAnsi="Arial"/>
          <w:sz w:val="18"/>
          <w:szCs w:val="18"/>
          <w:u w:val="single" w:color="auto"/>
          <w:color w:val="auto"/>
        </w:rPr>
        <w:t>Code</w:t>
      </w:r>
      <w:r>
        <w:rPr>
          <w:rFonts w:ascii="Arial" w:cs="Arial" w:eastAsia="Arial" w:hAnsi="Arial"/>
          <w:sz w:val="18"/>
          <w:szCs w:val="18"/>
          <w:color w:val="auto"/>
        </w:rPr>
        <w:t>”), to investigate any alleged breach or violation of the Code and to enforce the provisions of the Code.</w:t>
      </w:r>
    </w:p>
    <w:p>
      <w:pPr>
        <w:spacing w:after="0" w:line="170" w:lineRule="exact"/>
        <w:rPr>
          <w:rFonts w:ascii="Arial" w:cs="Arial" w:eastAsia="Arial" w:hAnsi="Arial"/>
          <w:sz w:val="18"/>
          <w:szCs w:val="18"/>
          <w:color w:val="auto"/>
        </w:rPr>
      </w:pPr>
    </w:p>
    <w:p>
      <w:pPr>
        <w:jc w:val="both"/>
        <w:ind w:right="100" w:firstLine="65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develop and recommend to the Board for approval a policy on Company political contributions and lobbying expenses, to receive and review an annual report on the Company's political contributions and lobbying expenses, and recommend to the Board any changes to the policy based on the most recent report</w:t>
      </w:r>
    </w:p>
    <w:p>
      <w:pPr>
        <w:spacing w:after="0" w:line="181" w:lineRule="exact"/>
        <w:rPr>
          <w:rFonts w:ascii="Arial" w:cs="Arial" w:eastAsia="Arial" w:hAnsi="Arial"/>
          <w:sz w:val="18"/>
          <w:szCs w:val="18"/>
          <w:color w:val="auto"/>
        </w:rPr>
      </w:pPr>
    </w:p>
    <w:p>
      <w:pPr>
        <w:ind w:firstLine="656"/>
        <w:spacing w:after="0" w:line="255"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take reasonable measures to determine that each executive officer and member of the Board has fully, accurately and timely completed and submitted a D&amp;O questionnaire to the Company’s SEC Compliance Officer in connection with the preparation and filing of any proxy statement or other filing with the United States Securities and Exchange Commission or other transaction where a D&amp;O questionnaire is required or desirable. In the case of any knowing failure to complete or timely submit a D&amp;O questionnaire the Committee shall (1) instruct the Company to exclude the applicable person’s from the relevant proxy statement and, where applicable, the proxy ballot and (2) advise the Board of the knowing failure to complete or timely submit a D&amp;O questionnaire.</w:t>
      </w:r>
    </w:p>
    <w:p>
      <w:pPr>
        <w:spacing w:after="0" w:line="193" w:lineRule="exact"/>
        <w:rPr>
          <w:rFonts w:ascii="Arial" w:cs="Arial" w:eastAsia="Arial" w:hAnsi="Arial"/>
          <w:sz w:val="18"/>
          <w:szCs w:val="18"/>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develop and oversee a Company orientation program for new directors and a continuing education program for current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UTSIDE</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DVISORS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Committee shall have the authority, in its sole discretion, to select, retain and obtain the advice of a director search firm as necessary to assist with the execution of its duties and responsibilities as set forth in this Charter. The Committee shall set the compensation, and oversee the work, of the director search firm. The Committee shall have the authority, in its sole discretion, to retain and obtain the advice and assistance of outside counsel and such other advisors as it deems necessary to fulfill its duties and responsibilities under this Charter. The Committee shall set the compensation, and oversee the work, of its outside counsel and other advisors. The Committee shall receive appropriate funding from the Company, as determined by the Committee in its capacity as a committee of the Board, for the payment of compensation to its compensation consultants, outside counsel and any other advisors.</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director search firm, outside counsel and any other advisors retained by the Committee shall be independent as determined in the discretion of the Committee.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TRUCTURE AND</w:t>
      </w:r>
      <w:r>
        <w:rPr>
          <w:rFonts w:ascii="Arial" w:cs="Arial" w:eastAsia="Arial" w:hAnsi="Arial"/>
          <w:sz w:val="18"/>
          <w:szCs w:val="18"/>
          <w:b w:val="1"/>
          <w:bCs w:val="1"/>
          <w:u w:val="single" w:color="auto"/>
          <w:color w:val="auto"/>
        </w:rPr>
        <w:t xml:space="preserve"> O</w:t>
      </w:r>
      <w:r>
        <w:rPr>
          <w:rFonts w:ascii="Arial" w:cs="Arial" w:eastAsia="Arial" w:hAnsi="Arial"/>
          <w:sz w:val="12"/>
          <w:szCs w:val="12"/>
          <w:b w:val="1"/>
          <w:bCs w:val="1"/>
          <w:u w:val="single" w:color="auto"/>
          <w:color w:val="auto"/>
        </w:rPr>
        <w:t>PERATIONS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Board shall designate a member of the Committee as the chairperson. The Committee shall meet at least quarterly at such times and places as it deems necessary to fulfill its responsibilities. Subject to the foregoing, the chairperson will, in consultation with Committee members and members of management, determine the frequency and length of Committee meetings and develop the Committee’s agenda for each meeting.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review this Charter at least annually and recommend any proposed changes to the Board for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ELEGATION OF</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UTHORITY</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Committee shall have the authority to delegate any of its responsibilities, along with the authority to take action in relation to such responsibilities, to one or more subcommittees as the Committee may deem appropriate in its sole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ERFORMANCE</w:t>
      </w:r>
      <w:r>
        <w:rPr>
          <w:rFonts w:ascii="Arial" w:cs="Arial" w:eastAsia="Arial" w:hAnsi="Arial"/>
          <w:sz w:val="18"/>
          <w:szCs w:val="18"/>
          <w:b w:val="1"/>
          <w:bCs w:val="1"/>
          <w:u w:val="single" w:color="auto"/>
          <w:color w:val="auto"/>
        </w:rPr>
        <w:t xml:space="preserve"> E</w:t>
      </w:r>
      <w:r>
        <w:rPr>
          <w:rFonts w:ascii="Arial" w:cs="Arial" w:eastAsia="Arial" w:hAnsi="Arial"/>
          <w:sz w:val="12"/>
          <w:szCs w:val="12"/>
          <w:b w:val="1"/>
          <w:bCs w:val="1"/>
          <w:u w:val="single" w:color="auto"/>
          <w:color w:val="auto"/>
        </w:rPr>
        <w:t>VALUATION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Committee shall conduct an annual evaluation of the performance of its duties under this Charter and shall present the results of the evaluation to the Board. The Committee shall conduct this evaluation in such manner as it deems appropriate.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9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2019-12-08T19:25:40Z</dcterms:created>
  <dcterms:modified xsi:type="dcterms:W3CDTF">2019-12-08T19:25:40Z</dcterms:modified>
</cp:coreProperties>
</file>