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100,671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2.46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110,671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03/31/2017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03/31/2022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135,559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-1904365</wp:posOffset>
            </wp:positionV>
            <wp:extent cx="7033895" cy="19157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June 16, 2020 in accordance with Rule 10b5-1 of the Securities Exchange Act of 1934, as amended.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08/14/2020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3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28775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2020-08-14T21:41:46Z</dcterms:created>
  <dcterms:modified xsi:type="dcterms:W3CDTF">2020-08-14T21:41:46Z</dcterms:modified>
</cp:coreProperties>
</file>