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July 23, 2020</w:t>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2"/>
          <w:szCs w:val="22"/>
          <w:u w:val="single" w:color="auto"/>
          <w:color w:val="auto"/>
        </w:rPr>
        <w:t>OptimizeRx Corporation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51"/>
        </w:trPr>
        <w:tc>
          <w:tcPr>
            <w:tcW w:w="4480" w:type="dxa"/>
            <w:vAlign w:val="bottom"/>
            <w:gridSpan w:val="3"/>
          </w:tcPr>
          <w:p>
            <w:pPr>
              <w:jc w:val="center"/>
              <w:ind w:right="860"/>
              <w:spacing w:after="0"/>
              <w:rPr>
                <w:sz w:val="20"/>
                <w:szCs w:val="20"/>
                <w:color w:val="auto"/>
              </w:rPr>
            </w:pPr>
            <w:r>
              <w:rPr>
                <w:rFonts w:ascii="Arial" w:cs="Arial" w:eastAsia="Arial" w:hAnsi="Arial"/>
                <w:sz w:val="18"/>
                <w:szCs w:val="18"/>
                <w:color w:val="auto"/>
                <w:w w:val="86"/>
              </w:rPr>
              <w:t>Nevada</w:t>
            </w:r>
          </w:p>
        </w:tc>
        <w:tc>
          <w:tcPr>
            <w:tcW w:w="2960" w:type="dxa"/>
            <w:vAlign w:val="bottom"/>
            <w:gridSpan w:val="3"/>
          </w:tcPr>
          <w:p>
            <w:pPr>
              <w:jc w:val="right"/>
              <w:ind w:right="1420"/>
              <w:spacing w:after="0"/>
              <w:rPr>
                <w:sz w:val="20"/>
                <w:szCs w:val="20"/>
                <w:color w:val="auto"/>
              </w:rPr>
            </w:pPr>
            <w:r>
              <w:rPr>
                <w:rFonts w:ascii="Arial" w:cs="Arial" w:eastAsia="Arial" w:hAnsi="Arial"/>
                <w:sz w:val="18"/>
                <w:szCs w:val="18"/>
                <w:color w:val="auto"/>
              </w:rPr>
              <w:t>001-38543</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26-1265381</w:t>
            </w:r>
          </w:p>
        </w:tc>
      </w:tr>
      <w:tr>
        <w:trPr>
          <w:trHeight w:val="202"/>
        </w:trPr>
        <w:tc>
          <w:tcPr>
            <w:tcW w:w="36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w:t>
            </w:r>
          </w:p>
        </w:tc>
        <w:tc>
          <w:tcPr>
            <w:tcW w:w="22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960" w:type="dxa"/>
            <w:vAlign w:val="bottom"/>
            <w:tcBorders>
              <w:top w:val="single" w:sz="8" w:color="auto"/>
            </w:tcBorders>
            <w:gridSpan w:val="3"/>
          </w:tcPr>
          <w:p>
            <w:pPr>
              <w:jc w:val="center"/>
              <w:ind w:right="640"/>
              <w:spacing w:after="0" w:line="201" w:lineRule="exact"/>
              <w:rPr>
                <w:sz w:val="20"/>
                <w:szCs w:val="20"/>
                <w:color w:val="auto"/>
              </w:rPr>
            </w:pPr>
            <w:r>
              <w:rPr>
                <w:rFonts w:ascii="Arial" w:cs="Arial" w:eastAsia="Arial" w:hAnsi="Arial"/>
                <w:sz w:val="18"/>
                <w:szCs w:val="18"/>
                <w:color w:val="auto"/>
                <w:w w:val="93"/>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4480" w:type="dxa"/>
            <w:vAlign w:val="bottom"/>
            <w:gridSpan w:val="3"/>
          </w:tcPr>
          <w:p>
            <w:pPr>
              <w:jc w:val="center"/>
              <w:ind w:right="860"/>
              <w:spacing w:after="0"/>
              <w:rPr>
                <w:sz w:val="20"/>
                <w:szCs w:val="20"/>
                <w:color w:val="auto"/>
              </w:rPr>
            </w:pPr>
            <w:r>
              <w:rPr>
                <w:rFonts w:ascii="Arial" w:cs="Arial" w:eastAsia="Arial" w:hAnsi="Arial"/>
                <w:sz w:val="18"/>
                <w:szCs w:val="18"/>
                <w:color w:val="auto"/>
                <w:w w:val="93"/>
              </w:rPr>
              <w:t>of incorporation)</w:t>
            </w: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53"/>
        </w:trPr>
        <w:tc>
          <w:tcPr>
            <w:tcW w:w="4480" w:type="dxa"/>
            <w:vAlign w:val="bottom"/>
            <w:tcBorders>
              <w:bottom w:val="single" w:sz="8" w:color="auto"/>
            </w:tcBorders>
            <w:gridSpan w:val="3"/>
          </w:tcPr>
          <w:p>
            <w:pPr>
              <w:jc w:val="center"/>
              <w:ind w:left="950"/>
              <w:spacing w:after="0"/>
              <w:rPr>
                <w:sz w:val="20"/>
                <w:szCs w:val="20"/>
                <w:color w:val="auto"/>
              </w:rPr>
            </w:pPr>
            <w:r>
              <w:rPr>
                <w:rFonts w:ascii="Arial" w:cs="Arial" w:eastAsia="Arial" w:hAnsi="Arial"/>
                <w:sz w:val="18"/>
                <w:szCs w:val="18"/>
                <w:color w:val="auto"/>
                <w:w w:val="89"/>
              </w:rPr>
              <w:t>400 Water Street, Suite 200, Rochester, MI</w:t>
            </w:r>
          </w:p>
        </w:tc>
        <w:tc>
          <w:tcPr>
            <w:tcW w:w="10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jc w:val="right"/>
              <w:ind w:right="2430"/>
              <w:spacing w:after="0"/>
              <w:rPr>
                <w:sz w:val="20"/>
                <w:szCs w:val="20"/>
                <w:color w:val="auto"/>
              </w:rPr>
            </w:pPr>
            <w:r>
              <w:rPr>
                <w:rFonts w:ascii="Arial" w:cs="Arial" w:eastAsia="Arial" w:hAnsi="Arial"/>
                <w:sz w:val="18"/>
                <w:szCs w:val="18"/>
                <w:color w:val="auto"/>
              </w:rPr>
              <w:t>48307</w:t>
            </w:r>
          </w:p>
        </w:tc>
      </w:tr>
      <w:tr>
        <w:trPr>
          <w:trHeight w:val="230"/>
        </w:trPr>
        <w:tc>
          <w:tcPr>
            <w:tcW w:w="4480" w:type="dxa"/>
            <w:vAlign w:val="bottom"/>
            <w:gridSpan w:val="3"/>
          </w:tcPr>
          <w:p>
            <w:pPr>
              <w:jc w:val="center"/>
              <w:ind w:left="950"/>
              <w:spacing w:after="0"/>
              <w:rPr>
                <w:sz w:val="20"/>
                <w:szCs w:val="20"/>
                <w:color w:val="auto"/>
              </w:rPr>
            </w:pPr>
            <w:r>
              <w:rPr>
                <w:rFonts w:ascii="Arial" w:cs="Arial" w:eastAsia="Arial" w:hAnsi="Arial"/>
                <w:sz w:val="18"/>
                <w:szCs w:val="18"/>
                <w:color w:val="auto"/>
                <w:w w:val="92"/>
              </w:rPr>
              <w:t>(Address of principal executive offices)</w:t>
            </w: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288925</wp:posOffset>
            </wp:positionV>
            <wp:extent cx="35661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60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14"/>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w:t>
            </w:r>
          </w:p>
        </w:tc>
      </w:tr>
      <w:tr>
        <w:trPr>
          <w:trHeight w:val="241"/>
        </w:trPr>
        <w:tc>
          <w:tcPr>
            <w:tcW w:w="4600" w:type="dxa"/>
            <w:vAlign w:val="bottom"/>
            <w:gridSpan w:val="3"/>
          </w:tcPr>
          <w:p>
            <w:pPr>
              <w:jc w:val="center"/>
              <w:ind w:right="980"/>
              <w:spacing w:after="0"/>
              <w:rPr>
                <w:sz w:val="20"/>
                <w:szCs w:val="20"/>
                <w:color w:val="auto"/>
              </w:rPr>
            </w:pPr>
            <w:r>
              <w:rPr>
                <w:rFonts w:ascii="Arial" w:cs="Arial" w:eastAsia="Arial" w:hAnsi="Arial"/>
                <w:sz w:val="18"/>
                <w:szCs w:val="18"/>
                <w:b w:val="1"/>
                <w:bCs w:val="1"/>
                <w:color w:val="auto"/>
                <w:w w:val="86"/>
              </w:rPr>
              <w:t>Title of each class</w:t>
            </w:r>
          </w:p>
        </w:tc>
        <w:tc>
          <w:tcPr>
            <w:tcW w:w="304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w w:val="89"/>
              </w:rPr>
              <w:t>Trading symbol</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Common Stock</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840" w:type="dxa"/>
            <w:vAlign w:val="bottom"/>
            <w:tcBorders>
              <w:top w:val="single" w:sz="8" w:color="auto"/>
            </w:tcBorders>
            <w:shd w:val="clear" w:color="auto" w:fill="CCEEFF"/>
          </w:tcPr>
          <w:p>
            <w:pPr>
              <w:jc w:val="center"/>
              <w:ind w:right="670"/>
              <w:spacing w:after="0"/>
              <w:rPr>
                <w:sz w:val="20"/>
                <w:szCs w:val="20"/>
                <w:color w:val="auto"/>
              </w:rPr>
            </w:pPr>
            <w:r>
              <w:rPr>
                <w:rFonts w:ascii="Arial" w:cs="Arial" w:eastAsia="Arial" w:hAnsi="Arial"/>
                <w:sz w:val="18"/>
                <w:szCs w:val="18"/>
                <w:color w:val="auto"/>
                <w:w w:val="93"/>
              </w:rPr>
              <w:t>OPRX</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Nasdaq Capital Market</w:t>
            </w:r>
          </w:p>
        </w:tc>
      </w:tr>
      <w:tr>
        <w:trPr>
          <w:trHeight w:val="216"/>
        </w:trPr>
        <w:tc>
          <w:tcPr>
            <w:tcW w:w="36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tcPr>
          <w:p>
            <w:pPr>
              <w:spacing w:after="0"/>
              <w:rPr>
                <w:sz w:val="18"/>
                <w:szCs w:val="18"/>
                <w:color w:val="auto"/>
              </w:rPr>
            </w:pPr>
          </w:p>
        </w:tc>
      </w:tr>
      <w:tr>
        <w:trPr>
          <w:trHeight w:val="28"/>
        </w:trPr>
        <w:tc>
          <w:tcPr>
            <w:tcW w:w="3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331"/>
        </w:trPr>
        <w:tc>
          <w:tcPr>
            <w:tcW w:w="3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4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2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On July 23, 2020, we issued a press release announcing the details of our earnings conference call, to be held on Wednesday, August 5, 2020 at 4:30 p.m.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Eastern time.</w:t>
      </w:r>
    </w:p>
    <w:p>
      <w:pPr>
        <w:spacing w:after="0" w:line="21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press release is furnished with this Current Report on Form 8-K as Exhibit 99.1. The information furnished under this Item 2.02 and Item 9.01 of this Current Report on Form 8-K, including Exhibit 99.1, shall not be deemed to be “filed” for the purposes of Section 18 of the Securities Exchange Act of 1934, as amended, or otherwise subject to the liabilities of that section, nor shall it be deemed incorporated by reference in any registration statement or other filing under the Securities Act of 1933, as amended, regardless of any general incorporation by reference language in such filing, except as shall be expressly set forth by specific reference in any such filing.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tabs>
          <w:tab w:leader="none" w:pos="128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July 23, 2020</w:t>
        </w:r>
      </w:hyperlink>
    </w:p>
    <w:p>
      <w:pPr>
        <w:spacing w:after="0" w:line="326"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796" w:right="49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July 23, 2020</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2302510</wp:posOffset>
            </wp:positionH>
            <wp:positionV relativeFrom="paragraph">
              <wp:posOffset>226060</wp:posOffset>
            </wp:positionV>
            <wp:extent cx="2545715" cy="6000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4571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left="340" w:right="140"/>
        <w:spacing w:after="0" w:line="272" w:lineRule="auto"/>
        <w:rPr>
          <w:sz w:val="20"/>
          <w:szCs w:val="20"/>
          <w:color w:val="auto"/>
        </w:rPr>
      </w:pPr>
      <w:r>
        <w:rPr>
          <w:rFonts w:ascii="Arial" w:cs="Arial" w:eastAsia="Arial" w:hAnsi="Arial"/>
          <w:sz w:val="32"/>
          <w:szCs w:val="32"/>
          <w:b w:val="1"/>
          <w:bCs w:val="1"/>
          <w:color w:val="auto"/>
        </w:rPr>
        <w:t>OptimizeRx Sets Second Quarter 2020 Conference Call for Wednesday, August 5, 2020 at 4:30 p.m. ET</w:t>
      </w:r>
    </w:p>
    <w:p>
      <w:pPr>
        <w:spacing w:after="0" w:line="134"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 xml:space="preserve">ROCHESTER, Mich. – July 23, 2020 – </w:t>
      </w:r>
      <w:r>
        <w:rPr>
          <w:rFonts w:ascii="Arial" w:cs="Arial" w:eastAsia="Arial" w:hAnsi="Arial"/>
          <w:sz w:val="18"/>
          <w:szCs w:val="18"/>
          <w:u w:val="single" w:color="auto"/>
          <w:color w:val="auto"/>
        </w:rPr>
        <w:t>OptimizeRx Corp.</w:t>
      </w:r>
      <w:r>
        <w:rPr>
          <w:rFonts w:ascii="Arial" w:cs="Arial" w:eastAsia="Arial" w:hAnsi="Arial"/>
          <w:sz w:val="18"/>
          <w:szCs w:val="18"/>
          <w:b w:val="1"/>
          <w:bCs w:val="1"/>
          <w:color w:val="auto"/>
        </w:rPr>
        <w:t xml:space="preserve"> </w:t>
      </w:r>
      <w:r>
        <w:rPr>
          <w:rFonts w:ascii="Arial" w:cs="Arial" w:eastAsia="Arial" w:hAnsi="Arial"/>
          <w:sz w:val="18"/>
          <w:szCs w:val="18"/>
          <w:color w:val="auto"/>
        </w:rPr>
        <w:t>(Nasdaq: OPRX), a leading provider of digital health solutions for life science companies and</w:t>
      </w:r>
      <w:r>
        <w:rPr>
          <w:rFonts w:ascii="Arial" w:cs="Arial" w:eastAsia="Arial" w:hAnsi="Arial"/>
          <w:sz w:val="18"/>
          <w:szCs w:val="18"/>
          <w:b w:val="1"/>
          <w:bCs w:val="1"/>
          <w:color w:val="auto"/>
        </w:rPr>
        <w:t xml:space="preserve"> </w:t>
      </w:r>
      <w:r>
        <w:rPr>
          <w:rFonts w:ascii="Arial" w:cs="Arial" w:eastAsia="Arial" w:hAnsi="Arial"/>
          <w:sz w:val="18"/>
          <w:szCs w:val="18"/>
          <w:color w:val="auto"/>
        </w:rPr>
        <w:t>payers, will hold a conference call on Wednesday, August 5, 2020 at 4:30 p.m. Eastern time to discuss results for the second quarter ended June 30, 2020. The financial results will be issued in a press release prior to the call.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OptimizeRx management will host the call, followed by a question and answer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Wednesday, August 5,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Time: 4:30 p.m. Eastern time (1:30 p.m. Pacific time)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Toll-free dial-in number: 1-866-248-8441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International dial-in number: 1-323-289-6576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Conference ID: 1161129</w:t>
      </w:r>
    </w:p>
    <w:p>
      <w:pPr>
        <w:spacing w:after="0" w:line="21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Please call the conference telephone number five minutes prior to the start time. An operator will register your name and organization. If you have any difficulty connecting with the conference call, please contact CMA at 1-949-432-7566.</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 replay of the call will be available after 7:30 p.m. Eastern time on the same day through August 26, 2020, as well as available for replay via the Investors section of the OptimizeRx website at optimizerx.com/investors.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Toll-free replay number: 1-844-512-2921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International replay number: 1-412-317-6671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Replay ID: 1161129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OptimizeRx</w:t>
      </w:r>
    </w:p>
    <w:p>
      <w:pPr>
        <w:spacing w:after="0" w:line="27"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OptimizeRx Corporation (NASDAQ: OPRX) is a digital health company that facilitates communication at the point-of-care among all stakeholders in healthcare. Primarily focused on life science and payer clients, its suite of digital and mobile SaaS-based solutions enables affordability, patient adherence and care management. OptimizeRx’s network reaches more than 60% of U.S. ambulatory providers, delivering therapeutic support on specialty medications and patient financial assistance directly within a provider’s workflow through leading electronic health platforms. OptimizeRx’s fully integrated platform supports the real-time exchange of information, improving provider knowledge and patient engagement, and ultimately leading to healthier outcomes.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follow the company on </w:t>
      </w:r>
      <w:r>
        <w:rPr>
          <w:rFonts w:ascii="Arial" w:cs="Arial" w:eastAsia="Arial" w:hAnsi="Arial"/>
          <w:sz w:val="18"/>
          <w:szCs w:val="18"/>
          <w:u w:val="single" w:color="auto"/>
          <w:color w:val="auto"/>
        </w:rPr>
        <w:t>Twitter</w:t>
      </w:r>
      <w:r>
        <w:rPr>
          <w:rFonts w:ascii="Arial" w:cs="Arial" w:eastAsia="Arial" w:hAnsi="Arial"/>
          <w:sz w:val="18"/>
          <w:szCs w:val="18"/>
          <w:color w:val="auto"/>
        </w:rPr>
        <w:t xml:space="preserve">, </w:t>
      </w:r>
      <w:r>
        <w:rPr>
          <w:rFonts w:ascii="Arial" w:cs="Arial" w:eastAsia="Arial" w:hAnsi="Arial"/>
          <w:sz w:val="18"/>
          <w:szCs w:val="18"/>
          <w:u w:val="single" w:color="auto"/>
          <w:color w:val="auto"/>
        </w:rPr>
        <w:t>LinkedIn</w:t>
      </w:r>
      <w:r>
        <w:rPr>
          <w:rFonts w:ascii="Arial" w:cs="Arial" w:eastAsia="Arial" w:hAnsi="Arial"/>
          <w:sz w:val="18"/>
          <w:szCs w:val="18"/>
          <w:color w:val="auto"/>
        </w:rPr>
        <w:t xml:space="preserve"> or visit </w:t>
      </w:r>
      <w:r>
        <w:rPr>
          <w:rFonts w:ascii="Arial" w:cs="Arial" w:eastAsia="Arial" w:hAnsi="Arial"/>
          <w:sz w:val="18"/>
          <w:szCs w:val="18"/>
          <w:u w:val="single" w:color="auto"/>
          <w:color w:val="auto"/>
        </w:rPr>
        <w:t>www.optimizerx.com</w:t>
      </w:r>
      <w:r>
        <w:rPr>
          <w:rFonts w:ascii="Arial" w:cs="Arial" w:eastAsia="Arial" w:hAnsi="Arial"/>
          <w:sz w:val="18"/>
          <w:szCs w:val="18"/>
          <w:color w:val="auto"/>
        </w:rPr>
        <w:t>.</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Important Cautions Regarding Forward Looking Statements</w:t>
      </w:r>
    </w:p>
    <w:p>
      <w:pPr>
        <w:spacing w:after="0" w:line="2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as in section 21E of the Securities Act of 1934, as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dbaker@optimizerx.com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Maira Alejandra, Media Relations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(754) 245-7070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malejandra@optimizerx.com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Ron Both or Grant Stude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CMA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(949) 432-7557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oprx@cma.team</w:t>
      </w: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79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2020-07-23T10:33:49Z</dcterms:created>
  <dcterms:modified xsi:type="dcterms:W3CDTF">2020-07-23T10:33:49Z</dcterms:modified>
</cp:coreProperties>
</file>