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6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September 30, 2025</w:t>
      </w:r>
    </w:p>
    <w:p>
      <w:pPr>
        <w:pStyle w:val="TextBody"/>
        <w:bidi w:val="0"/>
        <w:spacing w:lineRule="auto" w:line="288" w:before="16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13 or 15(d) of the Securities Exchange Act of 1934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p>
      <w:pPr>
        <w:pStyle w:val="TextBody"/>
        <w:bidi w:val="0"/>
        <w:spacing w:lineRule="auto" w:line="288" w:before="16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u w:val="single"/>
        </w:rPr>
        <w:t>001-38543</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45"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494"/>
        <w:gridCol w:w="494"/>
        <w:gridCol w:w="706"/>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 Identification No.)</w:t>
            </w:r>
          </w:p>
        </w:tc>
      </w:tr>
    </w:tbl>
    <w:p>
      <w:pPr>
        <w:pStyle w:val="TextBody"/>
        <w:bidi w:val="0"/>
        <w:spacing w:lineRule="auto" w:line="288" w:before="12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248-651-6568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under Section 12(b) of the Exchange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1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State the number of shares outstanding of each of the issuer’s classes of common stock, as of the latest practicable date: 18,640,652 common shares as of October 24,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73" w:type="dxa"/>
        <w:jc w:val="left"/>
        <w:tblInd w:w="0" w:type="dxa"/>
        <w:tblLayout w:type="fixed"/>
        <w:tblCellMar>
          <w:top w:w="28" w:type="dxa"/>
          <w:left w:w="28" w:type="dxa"/>
          <w:bottom w:w="28" w:type="dxa"/>
          <w:right w:w="28" w:type="dxa"/>
        </w:tblCellMar>
      </w:tblPr>
      <w:tblGrid>
        <w:gridCol w:w="298"/>
        <w:gridCol w:w="262"/>
        <w:gridCol w:w="264"/>
        <w:gridCol w:w="2453"/>
        <w:gridCol w:w="2453"/>
        <w:gridCol w:w="2458"/>
        <w:gridCol w:w="171"/>
        <w:gridCol w:w="171"/>
        <w:gridCol w:w="24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Page </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0">
              <w:r>
                <w:rPr>
                  <w:rStyle w:val="InternetLink"/>
                  <w:rFonts w:ascii="Times New Roman;serif" w:hAnsi="Times New Roman;serif"/>
                  <w:b/>
                  <w:color w:val="0000FF"/>
                  <w:sz w:val="20"/>
                  <w:u w:val="single"/>
                </w:rPr>
                <w:t>PART I – FINANCIAL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3">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3">
              <w:r>
                <w:rPr>
                  <w:rStyle w:val="InternetLink"/>
                  <w:rFonts w:ascii="Times New Roman;serif" w:hAnsi="Times New Roman;serif"/>
                  <w:b w:val="false"/>
                  <w:color w:val="0000FF"/>
                  <w:sz w:val="20"/>
                  <w:u w:val="single"/>
                </w:rPr>
                <w:t>Financial Statements (unaudited)</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3">
              <w:r>
                <w:rPr>
                  <w:rStyle w:val="InternetLink"/>
                  <w:rFonts w:ascii="Times New Roman;serif" w:hAnsi="Times New Roman;serif"/>
                  <w:b w:val="false"/>
                  <w:strike w:val="false"/>
                  <w:dstrike w:val="false"/>
                  <w:color w:val="000000"/>
                  <w:sz w:val="20"/>
                  <w:u w:val="none"/>
                  <w:effect w:val="none"/>
                </w:rPr>
                <w:t>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73">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73">
              <w:r>
                <w:rPr>
                  <w:rStyle w:val="InternetLink"/>
                  <w:rFonts w:ascii="Times New Roman;serif" w:hAnsi="Times New Roman;serif"/>
                  <w:b w:val="false"/>
                  <w:strike w:val="false"/>
                  <w:dstrike w:val="false"/>
                  <w:color w:val="000000"/>
                  <w:sz w:val="20"/>
                  <w:u w:val="none"/>
                  <w:effect w:val="none"/>
                </w:rPr>
                <w:t>19</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03">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03">
              <w:r>
                <w:rPr>
                  <w:rStyle w:val="InternetLink"/>
                  <w:rFonts w:ascii="Times New Roman;serif" w:hAnsi="Times New Roman;serif"/>
                  <w:b w:val="false"/>
                  <w:color w:val="0000FF"/>
                  <w:sz w:val="20"/>
                  <w:u w:val="single"/>
                </w:rPr>
                <w:t>Quantitative and Qualitative Disclosures About Market Risk</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03">
              <w:r>
                <w:rPr>
                  <w:rStyle w:val="InternetLink"/>
                  <w:rFonts w:ascii="Times New Roman;serif" w:hAnsi="Times New Roman;serif"/>
                  <w:b w:val="false"/>
                  <w:strike w:val="false"/>
                  <w:dstrike w:val="false"/>
                  <w:color w:val="000000"/>
                  <w:sz w:val="20"/>
                  <w:u w:val="none"/>
                  <w:effect w:val="none"/>
                </w:rPr>
                <w:t>26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06">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06">
              <w:r>
                <w:rPr>
                  <w:rStyle w:val="InternetLink"/>
                  <w:rFonts w:ascii="Times New Roman;serif" w:hAnsi="Times New Roman;serif"/>
                  <w:b w:val="false"/>
                  <w:color w:val="0000FF"/>
                  <w:sz w:val="20"/>
                  <w:u w:val="single"/>
                </w:rPr>
                <w:t>Controls and Procedures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06">
              <w:r>
                <w:rPr>
                  <w:rStyle w:val="InternetLink"/>
                  <w:rFonts w:ascii="Times New Roman;serif" w:hAnsi="Times New Roman;serif"/>
                  <w:b w:val="false"/>
                  <w:strike w:val="false"/>
                  <w:dstrike w:val="false"/>
                  <w:color w:val="000000"/>
                  <w:sz w:val="20"/>
                  <w:u w:val="none"/>
                  <w:effect w:val="none"/>
                </w:rPr>
                <w:t>26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09">
              <w:r>
                <w:rPr>
                  <w:rStyle w:val="InternetLink"/>
                  <w:rFonts w:ascii="Times New Roman;serif" w:hAnsi="Times New Roman;serif"/>
                  <w:b/>
                  <w:color w:val="0000FF"/>
                  <w:sz w:val="20"/>
                  <w:u w:val="single"/>
                </w:rPr>
                <w:t>PART II — OTHER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12">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12">
              <w:r>
                <w:rPr>
                  <w:rStyle w:val="InternetLink"/>
                  <w:rFonts w:ascii="Times New Roman;serif" w:hAnsi="Times New Roman;serif"/>
                  <w:b w:val="false"/>
                  <w:color w:val="0000FF"/>
                  <w:sz w:val="20"/>
                  <w:u w:val="single"/>
                </w:rPr>
                <w:t>Legal Proceedings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12">
              <w:r>
                <w:rPr>
                  <w:rStyle w:val="InternetLink"/>
                  <w:rFonts w:ascii="Times New Roman;serif" w:hAnsi="Times New Roman;serif"/>
                  <w:b w:val="false"/>
                  <w:strike w:val="false"/>
                  <w:dstrike w:val="false"/>
                  <w:color w:val="000000"/>
                  <w:sz w:val="20"/>
                  <w:u w:val="none"/>
                  <w:effect w:val="none"/>
                </w:rPr>
                <w:t>28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15">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15">
              <w:r>
                <w:rPr>
                  <w:rStyle w:val="InternetLink"/>
                  <w:rFonts w:ascii="Times New Roman;serif" w:hAnsi="Times New Roman;serif"/>
                  <w:b w:val="false"/>
                  <w:color w:val="0000FF"/>
                  <w:sz w:val="20"/>
                  <w:u w:val="single"/>
                </w:rPr>
                <w:t>Risk Factors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15">
              <w:r>
                <w:rPr>
                  <w:rStyle w:val="InternetLink"/>
                  <w:rFonts w:ascii="Times New Roman;serif" w:hAnsi="Times New Roman;serif"/>
                  <w:b w:val="false"/>
                  <w:strike w:val="false"/>
                  <w:dstrike w:val="false"/>
                  <w:color w:val="000000"/>
                  <w:sz w:val="20"/>
                  <w:u w:val="none"/>
                  <w:effect w:val="none"/>
                </w:rPr>
                <w:t>28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18">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18">
              <w:r>
                <w:rPr>
                  <w:rStyle w:val="InternetLink"/>
                  <w:rFonts w:ascii="Times New Roman;serif" w:hAnsi="Times New Roman;serif"/>
                  <w:b w:val="false"/>
                  <w:color w:val="0000FF"/>
                  <w:sz w:val="20"/>
                  <w:u w:val="single"/>
                </w:rPr>
                <w:t>Unregistered Sales of Equity Securities and Use of Proceeds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18">
              <w:r>
                <w:rPr>
                  <w:rStyle w:val="InternetLink"/>
                  <w:rFonts w:ascii="Times New Roman;serif" w:hAnsi="Times New Roman;serif"/>
                  <w:b w:val="false"/>
                  <w:strike w:val="false"/>
                  <w:dstrike w:val="false"/>
                  <w:color w:val="000000"/>
                  <w:sz w:val="20"/>
                  <w:u w:val="none"/>
                  <w:effect w:val="none"/>
                </w:rPr>
                <w:t>28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21">
              <w:r>
                <w:rPr>
                  <w:rStyle w:val="InternetLink"/>
                  <w:rFonts w:ascii="Times New Roman;serif" w:hAnsi="Times New Roman;serif"/>
                  <w:b w:val="false"/>
                  <w:color w:val="0000FF"/>
                  <w:sz w:val="20"/>
                  <w:u w:val="single"/>
                </w:rPr>
                <w:t>Defaults Upon Senior Securities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21">
              <w:r>
                <w:rPr>
                  <w:rStyle w:val="InternetLink"/>
                  <w:rFonts w:ascii="Times New Roman;serif" w:hAnsi="Times New Roman;serif"/>
                  <w:b w:val="false"/>
                  <w:strike w:val="false"/>
                  <w:dstrike w:val="false"/>
                  <w:color w:val="000000"/>
                  <w:sz w:val="20"/>
                  <w:u w:val="none"/>
                  <w:effect w:val="none"/>
                </w:rPr>
                <w:t>28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21">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21">
              <w:r>
                <w:rPr>
                  <w:rStyle w:val="InternetLink"/>
                  <w:rFonts w:ascii="Times New Roman;serif" w:hAnsi="Times New Roman;serif"/>
                  <w:b w:val="false"/>
                  <w:color w:val="0000FF"/>
                  <w:sz w:val="20"/>
                  <w:u w:val="single"/>
                </w:rPr>
                <w:t>Mine Safety Disclosure</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21">
              <w:r>
                <w:rPr>
                  <w:rStyle w:val="InternetLink"/>
                  <w:rFonts w:ascii="Times New Roman;serif" w:hAnsi="Times New Roman;serif"/>
                  <w:b w:val="false"/>
                  <w:strike w:val="false"/>
                  <w:dstrike w:val="false"/>
                  <w:color w:val="000000"/>
                  <w:sz w:val="20"/>
                  <w:u w:val="none"/>
                  <w:effect w:val="none"/>
                </w:rPr>
                <w:t>28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27">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27">
              <w:r>
                <w:rPr>
                  <w:rStyle w:val="InternetLink"/>
                  <w:rFonts w:ascii="Times New Roman;serif" w:hAnsi="Times New Roman;serif"/>
                  <w:b w:val="false"/>
                  <w:color w:val="0000FF"/>
                  <w:sz w:val="20"/>
                  <w:u w:val="single"/>
                </w:rPr>
                <w:t>Other Information</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27">
              <w:r>
                <w:rPr>
                  <w:rStyle w:val="InternetLink"/>
                  <w:rFonts w:ascii="Times New Roman;serif" w:hAnsi="Times New Roman;serif"/>
                  <w:b w:val="false"/>
                  <w:strike w:val="false"/>
                  <w:dstrike w:val="false"/>
                  <w:color w:val="000000"/>
                  <w:sz w:val="20"/>
                  <w:u w:val="none"/>
                  <w:effect w:val="none"/>
                </w:rPr>
                <w:t>28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33">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33">
              <w:r>
                <w:rPr>
                  <w:rStyle w:val="InternetLink"/>
                  <w:rFonts w:ascii="Times New Roman;serif" w:hAnsi="Times New Roman;serif"/>
                  <w:b w:val="false"/>
                  <w:color w:val="0000FF"/>
                  <w:sz w:val="20"/>
                  <w:u w:val="single"/>
                </w:rPr>
                <w:t>Exhibits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33">
              <w:r>
                <w:rPr>
                  <w:rStyle w:val="InternetLink"/>
                  <w:rFonts w:ascii="Times New Roman;serif" w:hAnsi="Times New Roman;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included in this Form 10-Q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6">
              <w:r>
                <w:rPr>
                  <w:rStyle w:val="InternetLink"/>
                  <w:rFonts w:ascii="Times New Roman;serif" w:hAnsi="Times New Roman;serif"/>
                  <w:b w:val="false"/>
                  <w:strike w:val="false"/>
                  <w:dstrike w:val="false"/>
                  <w:color w:val="000000"/>
                  <w:sz w:val="20"/>
                  <w:u w:val="none"/>
                  <w:effect w:val="none"/>
                </w:rPr>
                <w:t>2</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6">
              <w:r>
                <w:rPr>
                  <w:rStyle w:val="InternetLink"/>
                  <w:rFonts w:ascii="Times New Roman;serif" w:hAnsi="Times New Roman;serif"/>
                  <w:b w:val="false"/>
                  <w:color w:val="0000FF"/>
                  <w:sz w:val="20"/>
                  <w:u w:val="single"/>
                </w:rPr>
                <w:t>Condensed Consolidated Balance Sheets as of September 30, 2025 (unaudited) and December 31, 2024;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19">
              <w:r>
                <w:rPr>
                  <w:rStyle w:val="InternetLink"/>
                  <w:rFonts w:ascii="Times New Roman;serif" w:hAnsi="Times New Roman;serif"/>
                  <w:b w:val="false"/>
                  <w:strike w:val="false"/>
                  <w:dstrike w:val="false"/>
                  <w:color w:val="000000"/>
                  <w:sz w:val="20"/>
                  <w:u w:val="none"/>
                  <w:effect w:val="none"/>
                </w:rPr>
                <w:t>3</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19">
              <w:r>
                <w:rPr>
                  <w:rStyle w:val="InternetLink"/>
                  <w:rFonts w:ascii="Times New Roman;serif" w:hAnsi="Times New Roman;serif"/>
                  <w:b w:val="false"/>
                  <w:color w:val="0000FF"/>
                  <w:sz w:val="20"/>
                  <w:u w:val="single"/>
                </w:rPr>
                <w:t>Condensed Consolidated Statements of Operations for the Three and Nine Months Ended September 30, 2025 and 2024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22">
              <w:r>
                <w:rPr>
                  <w:rStyle w:val="InternetLink"/>
                  <w:rFonts w:ascii="Times New Roman;serif" w:hAnsi="Times New Roman;serif"/>
                  <w:b w:val="false"/>
                  <w:strike w:val="false"/>
                  <w:dstrike w:val="false"/>
                  <w:color w:val="000000"/>
                  <w:sz w:val="20"/>
                  <w:u w:val="none"/>
                  <w:effect w:val="none"/>
                </w:rPr>
                <w:t>4</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22">
              <w:r>
                <w:rPr>
                  <w:rStyle w:val="InternetLink"/>
                  <w:rFonts w:ascii="Times New Roman;serif" w:hAnsi="Times New Roman;serif"/>
                  <w:b w:val="false"/>
                  <w:color w:val="0000FF"/>
                  <w:sz w:val="20"/>
                  <w:u w:val="single"/>
                </w:rPr>
                <w:t>Condensed Consolidated Statements of Changes in Stockholders’ Equity for the Three and Nine Months Ended September 30, 2025 and 2024 (unaudited);</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25">
              <w:r>
                <w:rPr>
                  <w:rStyle w:val="InternetLink"/>
                  <w:rFonts w:ascii="Times New Roman;serif" w:hAnsi="Times New Roman;serif"/>
                  <w:b w:val="false"/>
                  <w:strike w:val="false"/>
                  <w:dstrike w:val="false"/>
                  <w:color w:val="000000"/>
                  <w:sz w:val="20"/>
                  <w:u w:val="none"/>
                  <w:effect w:val="none"/>
                </w:rPr>
                <w:t>6</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25">
              <w:r>
                <w:rPr>
                  <w:rStyle w:val="InternetLink"/>
                  <w:rFonts w:ascii="Times New Roman;serif" w:hAnsi="Times New Roman;serif"/>
                  <w:b w:val="false"/>
                  <w:color w:val="0000FF"/>
                  <w:sz w:val="20"/>
                  <w:u w:val="single"/>
                </w:rPr>
                <w:t>Condensed Consolidated Statements of Cash Flows for the Nine Months Ended September 30, 2025 and 2024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a422d2266e1468cb0a1fa058af438ba_28">
              <w:r>
                <w:rPr>
                  <w:rStyle w:val="InternetLink"/>
                  <w:rFonts w:ascii="Times New Roman;serif" w:hAnsi="Times New Roman;serif"/>
                  <w:b w:val="false"/>
                  <w:strike w:val="false"/>
                  <w:dstrike w:val="false"/>
                  <w:color w:val="000000"/>
                  <w:sz w:val="20"/>
                  <w:u w:val="none"/>
                  <w:effect w:val="none"/>
                </w:rPr>
                <w:t>7</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422d2266e1468cb0a1fa058af438ba_28">
              <w:r>
                <w:rPr>
                  <w:rStyle w:val="InternetLink"/>
                  <w:rFonts w:ascii="Times New Roman;serif" w:hAnsi="Times New Roman;serif"/>
                  <w:b w:val="false"/>
                  <w:color w:val="0000FF"/>
                  <w:sz w:val="20"/>
                  <w:u w:val="single"/>
                </w:rPr>
                <w:t>Notes to Condensed Consolidated Financial Statements (unaudited).</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83"/>
        <w:gridCol w:w="2245"/>
        <w:gridCol w:w="2256"/>
        <w:gridCol w:w="222"/>
        <w:gridCol w:w="838"/>
        <w:gridCol w:w="123"/>
        <w:gridCol w:w="109"/>
        <w:gridCol w:w="109"/>
        <w:gridCol w:w="109"/>
        <w:gridCol w:w="217"/>
        <w:gridCol w:w="817"/>
        <w:gridCol w:w="177"/>
      </w:tblGrid>
      <w:tr>
        <w:trPr/>
        <w:tc>
          <w:tcPr>
            <w:tcW w:w="298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and $335 at September 30, 2025 and December 31, 2024, respectively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assets </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117,047 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(See Note 12) </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September 30, 2025 and December 31, 2024</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166,666,667 shares authorized, 20,333,839 and 20,194,697 shares issued at September 30, 2025 and December 31, 2024, respectively </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 1,741,397 shares held at September 30, 2025 and December 31, 2024</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(84,256)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116,998 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170,321 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1634"/>
        <w:gridCol w:w="1382"/>
        <w:gridCol w:w="1389"/>
        <w:gridCol w:w="244"/>
        <w:gridCol w:w="837"/>
        <w:gridCol w:w="111"/>
        <w:gridCol w:w="111"/>
        <w:gridCol w:w="111"/>
        <w:gridCol w:w="111"/>
        <w:gridCol w:w="244"/>
        <w:gridCol w:w="837"/>
        <w:gridCol w:w="111"/>
        <w:gridCol w:w="109"/>
        <w:gridCol w:w="109"/>
        <w:gridCol w:w="109"/>
        <w:gridCol w:w="244"/>
        <w:gridCol w:w="837"/>
        <w:gridCol w:w="109"/>
        <w:gridCol w:w="109"/>
        <w:gridCol w:w="109"/>
        <w:gridCol w:w="109"/>
        <w:gridCol w:w="240"/>
        <w:gridCol w:w="841"/>
        <w:gridCol w:w="158"/>
      </w:tblGrid>
      <w:tr>
        <w:trPr/>
        <w:tc>
          <w:tcPr>
            <w:tcW w:w="163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br/>
              <w:t>September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18,576,199 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18,323,542 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18,519,665 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18,250,775 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19,459,877 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18,323,542 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19,021,905 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18,250,775 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basic</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diluted</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0772" w:type="dxa"/>
        <w:jc w:val="center"/>
        <w:tblInd w:w="0" w:type="dxa"/>
        <w:tblLayout w:type="fixed"/>
        <w:tblCellMar>
          <w:top w:w="28" w:type="dxa"/>
          <w:left w:w="28" w:type="dxa"/>
          <w:bottom w:w="28" w:type="dxa"/>
          <w:right w:w="28" w:type="dxa"/>
        </w:tblCellMar>
      </w:tblPr>
      <w:tblGrid>
        <w:gridCol w:w="763"/>
        <w:gridCol w:w="248"/>
        <w:gridCol w:w="250"/>
        <w:gridCol w:w="540"/>
        <w:gridCol w:w="541"/>
        <w:gridCol w:w="211"/>
        <w:gridCol w:w="109"/>
        <w:gridCol w:w="109"/>
        <w:gridCol w:w="109"/>
        <w:gridCol w:w="237"/>
        <w:gridCol w:w="406"/>
        <w:gridCol w:w="123"/>
        <w:gridCol w:w="109"/>
        <w:gridCol w:w="109"/>
        <w:gridCol w:w="109"/>
        <w:gridCol w:w="495"/>
        <w:gridCol w:w="496"/>
        <w:gridCol w:w="211"/>
        <w:gridCol w:w="109"/>
        <w:gridCol w:w="109"/>
        <w:gridCol w:w="109"/>
        <w:gridCol w:w="273"/>
        <w:gridCol w:w="351"/>
        <w:gridCol w:w="142"/>
        <w:gridCol w:w="109"/>
        <w:gridCol w:w="109"/>
        <w:gridCol w:w="109"/>
        <w:gridCol w:w="211"/>
        <w:gridCol w:w="826"/>
        <w:gridCol w:w="109"/>
        <w:gridCol w:w="109"/>
        <w:gridCol w:w="109"/>
        <w:gridCol w:w="109"/>
        <w:gridCol w:w="236"/>
        <w:gridCol w:w="826"/>
        <w:gridCol w:w="124"/>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20,194,697 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20,234,186 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20,297,388 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20,333,839 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(84,256)</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0862"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41"/>
        <w:gridCol w:w="414"/>
        <w:gridCol w:w="126"/>
        <w:gridCol w:w="109"/>
        <w:gridCol w:w="109"/>
        <w:gridCol w:w="109"/>
        <w:gridCol w:w="495"/>
        <w:gridCol w:w="496"/>
        <w:gridCol w:w="226"/>
        <w:gridCol w:w="109"/>
        <w:gridCol w:w="109"/>
        <w:gridCol w:w="109"/>
        <w:gridCol w:w="278"/>
        <w:gridCol w:w="358"/>
        <w:gridCol w:w="145"/>
        <w:gridCol w:w="109"/>
        <w:gridCol w:w="109"/>
        <w:gridCol w:w="109"/>
        <w:gridCol w:w="211"/>
        <w:gridCol w:w="826"/>
        <w:gridCol w:w="109"/>
        <w:gridCol w:w="109"/>
        <w:gridCol w:w="109"/>
        <w:gridCol w:w="109"/>
        <w:gridCol w:w="242"/>
        <w:gridCol w:w="847"/>
        <w:gridCol w:w="127"/>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19,899,679 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19,921,879 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20,061,907 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20,069,432 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(84,290)</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773" w:type="dxa"/>
        <w:jc w:val="left"/>
        <w:tblInd w:w="0" w:type="dxa"/>
        <w:tblLayout w:type="fixed"/>
        <w:tblCellMar>
          <w:top w:w="28" w:type="dxa"/>
          <w:left w:w="28" w:type="dxa"/>
          <w:bottom w:w="28" w:type="dxa"/>
          <w:right w:w="28" w:type="dxa"/>
        </w:tblCellMar>
      </w:tblPr>
      <w:tblGrid>
        <w:gridCol w:w="2626"/>
        <w:gridCol w:w="2306"/>
        <w:gridCol w:w="2312"/>
        <w:gridCol w:w="211"/>
        <w:gridCol w:w="721"/>
        <w:gridCol w:w="109"/>
        <w:gridCol w:w="109"/>
        <w:gridCol w:w="109"/>
        <w:gridCol w:w="109"/>
        <w:gridCol w:w="211"/>
        <w:gridCol w:w="796"/>
        <w:gridCol w:w="154"/>
      </w:tblGrid>
      <w:tr>
        <w:trPr/>
        <w:tc>
          <w:tcPr>
            <w:tcW w:w="262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br/>
              <w:t>September 30,</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val="false"/>
          <w:color w:val="000000"/>
          <w:sz w:val="20"/>
        </w:rPr>
        <w:t>The accompanying notes are an integral part of these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OptimizeRx Corporation and its wholly owned subsidiaries (collectively, the “Company”, “we”, “our”, or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digital healthcare technology company that connects over two million HCPs and millions of their patients through an intelligent technology platform embedded within a proprietary omnichannel network. OptimizeRx helps life science organizations engage and support their customers through our combined HCP and DTC marketing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for the three and nine months ended September 30, 2025 and 2024 have been prepared by us without audit pursuant to the rules and regulations of the U.S. Securities and Exchange Commission (“SEC”). In the opinion of management, all adjustments necessary to present fairly our financial position at September 30, 2025, and our results of operations, changes in stockholders’ equity for the three and nine months ended September 30, 2025 and 2024, and cash flows for the nine months ended September 30, 2025 and 2024, have been made. Those adjustments consist of normal and recurring adjustments. The condensed consolidated balance sheet as of December 31, 2024, has been derived from the audited consolidated balance sheet as of that date. We operate a single reporting segment and, accordingly, use our consolidated net income (loss) as our measure of profit and loss and it is not presented separately here.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2024, as filed with the SEC on March 20, 2025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nine months ended September 30, 2025, are not necessarily indicative of the results to be expected for the full year.</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one reportable segment and use consolidated net income (loss) as our measure of segment profit and loss. Overall, our business involves connecting life science companies to patients and providers. We have a common customer base of life sciences customers geographically located in the U.S. for all of our solutions, which primarily focus on all communications between our life sciences customers and with healthcare providers or patients. We do not prepare separate internal income statements by solution as our focus is on selling enterprise arrangements covering multiple solutions that span the entire patient journey with a specific brand.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Condensed Consolidated Statement of Operations as consolidated net income (loss). The measure of segment assets is reported on the Condensed Consolidated Balance Sheets as total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consolidated net income (loss) to evaluate the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Condensed Consolidated Statement of Operations for segment expenses, of which the significant expenses are related to cost of revenues, exclusive of depreciation and amortization, and operating expenses. Since we operate as one reportable segment, all required segment financial information is found in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 (CONTINUED)</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upon the sale of an asset or paid upon the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based upon unadjusted quoted prices for identical instruments traded in active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Inputs are generally unobservable and typically reflect management’s estimates of assumptions that market participants would use in pricing the asset or liability. The fair values are therefore determined by using model-based techniques that include option pricing models, discounted cash flow models, and similar techniques. The Company’s stock options and warrants are valued using Level 3 inputs.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amounts of financial instruments, including cash and cash equivalents, accounts receivable, accounts payable, and other current liabilities,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2 – NEW ACCOUNTING PRONOUNCEMENTS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 We expect to adopt ASU 2023-09 for the annual period ending December 31, 2025, and the adoption will not materially affect our financial position or our results of operations, but the Company expects the adoption to result in additional disclosures.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FASB issued ASU No. 2025-05 (“ASU 2025-05”), ASU No. 2025-05, Financial Instruments – Credit Losses (Topic 326): Measurement of Credit Losses for Accounts Receivable and Contract Assets. ASU 2025-05 provides (1) all entities with a practical expedient and (2) entities other than public business entities, with an accounting policy election when estimating credit losses for current accounts receivable and current contract assets arising from transactions accounted for under Topic 606. This authoritative guidance is effective for annual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 2 – NEW ACCOUNTING PRONOUNCEMENTS (CONTINUED)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2025, and interim reporting periods within those annual reporting periods, with early adoption permitted. We are currently evaluating the impact of adopting ASU 2025-05.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(“ASU 2025-06”), ASU No. 2025-06, Intangibles—Goodwill and Other — Internal-Use Software (Subtopic 350-40): Targeted Improvements to the Accounting for Internal-Use Software.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3 – CASH, CASH EQUIVALENTS AND SHORT-TERM INVESTMENTS</w:t>
      </w:r>
    </w:p>
    <w:p>
      <w:pPr>
        <w:pStyle w:val="TextBody"/>
        <w:bidi w:val="0"/>
        <w:spacing w:lineRule="auto" w:line="288" w:before="240" w:after="283"/>
        <w:jc w:val="both"/>
        <w:rPr/>
      </w:pPr>
      <w:r>
        <w:rPr>
          <w:rFonts w:ascii="Times New Roman;serif" w:hAnsi="Times New Roman;serif"/>
          <w:b w:val="false"/>
          <w:color w:val="000000"/>
          <w:sz w:val="20"/>
        </w:rPr>
        <w:t xml:space="preserve">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as the shares have a readily determinable fair value quoted on the national stock exchange and are classified within Level 1 of the fair value hierarchy. At September 30, 2025 and December 31, 2024, we recorded $8,572 and $8,300, respectively, of money market funds at approximate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4 – CAPITALIZED SOFTWARE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the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condensed consolidated statements of operations. Amortization of capitalized internal use software expense for the three and nine months ended September 30, 2025 and 2024 was $80 and $244 and $91 and $233, respectively. The Company accumulates capitalizable costs related to current projects in a construction in process (“CIP”) software account, the balance of which was $217 and $320 at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5 – LONG-TERM DEBT</w:t>
      </w:r>
    </w:p>
    <w:p>
      <w:pPr>
        <w:pStyle w:val="TextBody"/>
        <w:bidi w:val="0"/>
        <w:spacing w:lineRule="auto" w:line="288" w:before="240" w:after="283"/>
        <w:jc w:val="left"/>
        <w:rPr/>
      </w:pPr>
      <w:r>
        <w:rPr>
          <w:rFonts w:ascii="Times New Roman;serif" w:hAnsi="Times New Roman;serif"/>
          <w:b w:val="false"/>
          <w:color w:val="000000"/>
          <w:sz w:val="20"/>
        </w:rPr>
        <w:t>Long-term debt, net comprised of the following at September 30, 2025</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December 31, 2024:</w:t>
      </w:r>
    </w:p>
    <w:tbl>
      <w:tblPr>
        <w:tblW w:w="6627" w:type="dxa"/>
        <w:jc w:val="left"/>
        <w:tblInd w:w="0" w:type="dxa"/>
        <w:tblLayout w:type="fixed"/>
        <w:tblCellMar>
          <w:top w:w="28" w:type="dxa"/>
          <w:left w:w="28" w:type="dxa"/>
          <w:bottom w:w="28" w:type="dxa"/>
          <w:right w:w="28" w:type="dxa"/>
        </w:tblCellMar>
      </w:tblPr>
      <w:tblGrid>
        <w:gridCol w:w="1179"/>
        <w:gridCol w:w="1035"/>
        <w:gridCol w:w="1041"/>
        <w:gridCol w:w="264"/>
        <w:gridCol w:w="904"/>
        <w:gridCol w:w="136"/>
        <w:gridCol w:w="109"/>
        <w:gridCol w:w="109"/>
        <w:gridCol w:w="109"/>
        <w:gridCol w:w="255"/>
        <w:gridCol w:w="873"/>
        <w:gridCol w:w="132"/>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in 2027</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11, 2023, the Company entered into a Financing Agreement (the “Financing Agreement”) which provided for a term loan (the “Term Loan”) of $40 million, the net proceeds of which were used to partially finance the Medicx Health transaction. In connection with the Term Loan the Company incurred issuance costs of approximately $2,270, which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LONG-TERM DEBT (CONTINUED)</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capitalized and are being amortized to interest expense over the life of the Term Loan. Amortization of debt issuance costs for the three and nine months ended September 30, 2025 and 2024 was $174 and $785 and $182 and $547,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Term Loan are secured by all of the Company’s and its subsidiaries’ assets (including a pledge of all of the capital stock and equity interests of its subsidiaries).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1.00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(loss) in the calculation of Consolidated EBITDA, adjusted for any increase/decrease in working capital during the fiscal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the Company made total principal repayments of $0.5 million and $5.5 million and $0.5 million and $1.5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Company’s option the Term Loan, or any portion thereof bears interest at either: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greater of (a) 4.00% per annum, (b) the Federal Funds Rate plus 0.50% per annum, (c) the one month Secured Overnight Financing Rate (“SOFR”), plus an adjustment of 26 basis point and 1.00% per annum, and (d) the rate last quoted by The Wall Street Journal as the “Prime Rate”, plus an Applicable Margin of 7.5%; or</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b.Three-month SOFR plus an adjustment of 26 basis points and an Applicable Margin of 8.5%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Term Loan bears interest at 12.9%, with an effective interest rate of 15.9% for the three months ended September 30, 2025 and an effective interest rate of 16.8% for the nine months ended September 30, 2025, including the impact of the amortization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requires the Company to maintain certain maximum leverage ratios and Liquidity (as defined in the Financing Agreement) of at least $5.0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its financial covenants as of September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LONG-TERM DEBT (CONTINUED)</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due on the Term Loan in each of the next three years subsequent to September 30, 2025, are as follows:</w:t>
      </w:r>
    </w:p>
    <w:tbl>
      <w:tblPr>
        <w:tblW w:w="3663" w:type="dxa"/>
        <w:jc w:val="left"/>
        <w:tblInd w:w="0" w:type="dxa"/>
        <w:tblLayout w:type="fixed"/>
        <w:tblCellMar>
          <w:top w:w="28" w:type="dxa"/>
          <w:left w:w="28" w:type="dxa"/>
          <w:bottom w:w="28" w:type="dxa"/>
          <w:right w:w="28" w:type="dxa"/>
        </w:tblCellMar>
      </w:tblPr>
      <w:tblGrid>
        <w:gridCol w:w="814"/>
        <w:gridCol w:w="717"/>
        <w:gridCol w:w="719"/>
        <w:gridCol w:w="109"/>
        <w:gridCol w:w="109"/>
        <w:gridCol w:w="109"/>
        <w:gridCol w:w="211"/>
        <w:gridCol w:w="72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6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had operating leases with terms greater than 12 months for office space in four multi-tenant facilities, which are recorded as Operating lease right-of-use assets and Operating lease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Company’s lease cost consists of the following components, each of which is included in operating expenses within the Company’s condensed consolidated statements of operations:</w:t>
      </w:r>
    </w:p>
    <w:tbl>
      <w:tblPr>
        <w:tblW w:w="7957" w:type="dxa"/>
        <w:jc w:val="left"/>
        <w:tblInd w:w="0" w:type="dxa"/>
        <w:tblLayout w:type="fixed"/>
        <w:tblCellMar>
          <w:top w:w="28" w:type="dxa"/>
          <w:left w:w="28" w:type="dxa"/>
          <w:bottom w:w="28" w:type="dxa"/>
          <w:right w:w="28" w:type="dxa"/>
        </w:tblCellMar>
      </w:tblPr>
      <w:tblGrid>
        <w:gridCol w:w="651"/>
        <w:gridCol w:w="572"/>
        <w:gridCol w:w="576"/>
        <w:gridCol w:w="389"/>
        <w:gridCol w:w="667"/>
        <w:gridCol w:w="201"/>
        <w:gridCol w:w="201"/>
        <w:gridCol w:w="201"/>
        <w:gridCol w:w="201"/>
        <w:gridCol w:w="389"/>
        <w:gridCol w:w="667"/>
        <w:gridCol w:w="201"/>
        <w:gridCol w:w="330"/>
        <w:gridCol w:w="730"/>
        <w:gridCol w:w="170"/>
        <w:gridCol w:w="170"/>
        <w:gridCol w:w="170"/>
        <w:gridCol w:w="170"/>
        <w:gridCol w:w="330"/>
        <w:gridCol w:w="730"/>
        <w:gridCol w:w="24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8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7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4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future minimum lease payments to be made under operating leases in each of the remainder of the current and next three fiscal years:</w:t>
      </w:r>
    </w:p>
    <w:tbl>
      <w:tblPr>
        <w:tblW w:w="3407"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211"/>
        <w:gridCol w:w="46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at September 30, 2025 for the operating leases is 2.61 years, and the weighted average discount rate used in calculating the operating lease asset and liability is 6.90%. Cash paid for amounts included in the measurement of lease liabilities was $145 and $168 for the nine months ended September 30, 2025 and 2024, respectively. For the nine months ended September 30, 2025 and 2024, payments on lease obligations were $168 and $193, respectively, and amortization on the right of use assets was $182 and $175,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 7 – STOCKHOLDERS’ EQUITY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10,000,000 shares of preferred stock, $0.001 par value per share, authorized as of September 30, 2025. No shares were issued or outstanding in either 2025 or 2024.</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166,666,667 shares of common stock, $0.001 par value per share, authorized as of September 30, 2025. There were 18,592,442 and 18,453,300 shares of common stock outstanding, net of shares held in treasury of 1,741,397 and 1,741,397 at September 30, 2025 and December 31, 2024, respectively.</w:t>
      </w:r>
    </w:p>
    <w:p>
      <w:pPr>
        <w:pStyle w:val="TextBody"/>
        <w:bidi w:val="0"/>
        <w:spacing w:lineRule="auto" w:line="288" w:before="240" w:after="283"/>
        <w:jc w:val="both"/>
        <w:rPr/>
      </w:pPr>
      <w:r>
        <w:rPr>
          <w:rFonts w:ascii="Times New Roman;serif" w:hAnsi="Times New Roman;serif"/>
          <w:b w:val="false"/>
          <w:color w:val="000000"/>
          <w:sz w:val="20"/>
        </w:rPr>
        <w:t>During each of the quarters ended March 31, 2025, June 30, 2025 and September 30, 2025, the Company issued 0, 0 and 22,028</w:t>
      </w:r>
      <w:r>
        <w:rPr>
          <w:color w:val="000000"/>
        </w:rPr>
        <w:t xml:space="preserve"> </w:t>
      </w:r>
      <w:r>
        <w:rPr>
          <w:rFonts w:ascii="Times New Roman;serif" w:hAnsi="Times New Roman;serif"/>
          <w:b w:val="false"/>
          <w:color w:val="000000"/>
          <w:sz w:val="20"/>
        </w:rPr>
        <w:t>shares of our common stock, respectively, and received $0, $0 and $338 proceeds, respectively, in connection with the exercise of options under our 2013 Incentive Plan (the “2013 Plan”) and our 2021 Equity Incentive Plan (“2021 Plan”). The Company issued 39,489, 63,202 and 14,423</w:t>
      </w:r>
      <w:r>
        <w:rPr>
          <w:color w:val="000000"/>
        </w:rPr>
        <w:t xml:space="preserve"> </w:t>
      </w:r>
      <w:r>
        <w:rPr>
          <w:rFonts w:ascii="Times New Roman;serif" w:hAnsi="Times New Roman;serif"/>
          <w:b w:val="false"/>
          <w:color w:val="000000"/>
          <w:sz w:val="20"/>
        </w:rPr>
        <w:t xml:space="preserve">shares of common stock, respectively, in the quarters ended March 31, 2025, June 30, 2025 and September 30, 2025, in connection with the vesting of restricted stock units under our 2013 Plan and our 2021 Plan. Some of the participants utilized a net withhold settlement method, in which shares were surrendered to cover payroll withholding taxes. Of the shares issued to participants during the nine months ended September 30, 2025, 21,134 shares, valued at $187, were surrendered and subsequently cancelled. </w:t>
      </w:r>
    </w:p>
    <w:p>
      <w:pPr>
        <w:pStyle w:val="TextBody"/>
        <w:bidi w:val="0"/>
        <w:spacing w:lineRule="auto" w:line="288" w:before="240" w:after="283"/>
        <w:jc w:val="both"/>
        <w:rPr/>
      </w:pPr>
      <w:r>
        <w:rPr>
          <w:rFonts w:ascii="Times New Roman;serif" w:hAnsi="Times New Roman;serif"/>
          <w:b w:val="false"/>
          <w:color w:val="000000"/>
          <w:sz w:val="20"/>
        </w:rPr>
        <w:t>During the quarters ended March 31, 2024, June 30, 2024 and September 30, 2024, the Company issued no</w:t>
      </w:r>
      <w:r>
        <w:rPr>
          <w:color w:val="000000"/>
        </w:rPr>
        <w:t xml:space="preserve"> </w:t>
      </w:r>
      <w:r>
        <w:rPr>
          <w:rFonts w:ascii="Times New Roman;serif" w:hAnsi="Times New Roman;serif"/>
          <w:b w:val="false"/>
          <w:color w:val="000000"/>
          <w:sz w:val="20"/>
        </w:rPr>
        <w:t>shares of our common stock and received no proceeds in connection with the exercise of options under our 2013 Plan and our 2021 Plan. The Company issued 22,200, 140,028 and 7,525 shares of common stock, respectively, in the quarters ended March 31, 2024, June 30, 2024 and September 30, 2024, in connection with the vesting of restricted stock units under our 2013 Plan and our 2021 Plan. Some of the participants utilized a net withhold settlement method, in which shares were surrendered to cover payroll withholding taxes. Of the shares issued to participants during the nine months ended September 30, 2024, 52,092 shares, valued at $586, were surrendered in connection with the net withhold settlement method, and were subsequently cancelled.</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Treasury Stock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During the quarter ended March 31, 2023, the Company's Board of Directors (the </w:t>
      </w:r>
      <w:r>
        <w:rPr>
          <w:color w:val="000000"/>
        </w:rPr>
        <w:t>“</w:t>
      </w:r>
      <w:r>
        <w:rPr>
          <w:rFonts w:ascii="Times New Roman;serif" w:hAnsi="Times New Roman;serif"/>
          <w:b w:val="false"/>
          <w:color w:val="000000"/>
          <w:sz w:val="20"/>
          <w:shd w:fill="FFFFFF" w:val="clear"/>
        </w:rPr>
        <w:t>Board</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authorized a share repurchase program, under which the Company could repurchase up to $15.0 million of its outstanding common stock. This stock repurchase authorization expired on March 12, 2024.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and nine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2025 and 2024, </w:t>
      </w:r>
      <w:r>
        <w:rPr>
          <w:rFonts w:ascii="Times New Roman;serif" w:hAnsi="Times New Roman;serif"/>
          <w:b w:val="false"/>
          <w:color w:val="000000"/>
          <w:sz w:val="20"/>
          <w:shd w:fill="FFFFFF" w:val="clear"/>
        </w:rPr>
        <w:t xml:space="preserve">the Company did not repurchase any of its outstanding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8 – STOCK BASED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two stock-based incentive compensation plans.</w:t>
      </w:r>
    </w:p>
    <w:p>
      <w:pPr>
        <w:pStyle w:val="TextBody"/>
        <w:bidi w:val="0"/>
        <w:spacing w:lineRule="auto" w:line="288" w:before="240" w:after="283"/>
        <w:jc w:val="both"/>
        <w:rPr/>
      </w:pPr>
      <w:r>
        <w:rPr>
          <w:rFonts w:ascii="Times New Roman;serif" w:hAnsi="Times New Roman;serif"/>
          <w:b w:val="false"/>
          <w:color w:val="000000"/>
          <w:sz w:val="20"/>
        </w:rPr>
        <w:t xml:space="preserve">In June 2013, the Board approved and adopted, and the Company’s stockholders approved, the OptimizeRx Corporation 2013 Incentive Plan, which was subsequently amended and approved in 2016, 2018, 2019, and 2020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rPr>
        <w:t>2013 Incentive Plan”). The 2013 Incentive Plan, as amended, authorized the issuance of 3,000,000 shares of Company common stock. In connection with the adoption of a new incentive plan in 2021, the Company froze the 2013 Incentive Plan. A total of 167,845 shares of common stock underlying options and 4,000 shares of common stock underlying restricted stock unit awards were outstanding under the 2013 Incentive Plan at September 30, 2025. At September 30, 2025, there were no shares available for grant under the 2013 Incentive Plan.</w:t>
      </w:r>
    </w:p>
    <w:p>
      <w:pPr>
        <w:pStyle w:val="TextBody"/>
        <w:bidi w:val="0"/>
        <w:spacing w:lineRule="auto" w:line="288" w:before="240" w:after="283"/>
        <w:jc w:val="both"/>
        <w:rPr/>
      </w:pPr>
      <w:r>
        <w:rPr>
          <w:rFonts w:ascii="Times New Roman;serif" w:hAnsi="Times New Roman;serif"/>
          <w:b w:val="false"/>
          <w:color w:val="000000"/>
          <w:sz w:val="20"/>
        </w:rPr>
        <w:t xml:space="preserve">In 2021, the Board approved and adopted the OptimizeRx Corporation 2021 Equity Incentive Plan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rPr>
        <w:t xml:space="preserve">2021 Incentive Plan”). The 2021 Incentive Plan was approved by stockholders in August 2021. On June 5, 2024, at the 2024 Annual Meeting of Stockholders, the Company's stockholders approved an amendment to the 2021 Incentive Plan to increase the number of shares of common stock available for awards under the 2021 Incentive Plan by 1,950,000 shares for a total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8 – STOCK BASED COMPENSATION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4,450,000 shares. A total of 2,237,345 shares of common stock underlying options and 941,729 shares of common stock underlying restricted stock unit awards were outstanding under the 2021 Incentive Plan at September 30, 2025. At September 30, 2025, 1,272,283 shares were available for grant under the 2021 Incentive Plan.</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expense that has been charged against income related to options for the three and nine months ended September 30, 2025 and 2024 was $819 and $1,971 and $992 and $3,494, respectively. A total of $8,489 remains to be recognized at September 30, 2025 over a weighted average period of 2.66 years. The total intrinsic value of outstanding options at September 30, 2025 was $18,519. The fair value of these instruments was calculated using the Black-Scholes option pricing model. </w:t>
      </w:r>
    </w:p>
    <w:p>
      <w:pPr>
        <w:pStyle w:val="TextBody"/>
        <w:bidi w:val="0"/>
        <w:spacing w:lineRule="auto" w:line="288" w:before="240" w:after="283"/>
        <w:jc w:val="both"/>
        <w:rPr/>
      </w:pPr>
      <w:r>
        <w:rPr>
          <w:rFonts w:ascii="Times New Roman;serif" w:hAnsi="Times New Roman;serif"/>
          <w:b w:val="false"/>
          <w:color w:val="000000"/>
          <w:sz w:val="20"/>
        </w:rPr>
        <w:t>From time to time, the Company grants performance based stock options, the expense for which will be recorded over time once the achievement of the performance is deemed probable. There was $8 and $25 in expense related to these options recorded during the three and nine months ended September 30, 2025, respectively. There was $8 and $16</w:t>
      </w:r>
      <w:r>
        <w:rPr>
          <w:color w:val="000000"/>
        </w:rPr>
        <w:t xml:space="preserve"> </w:t>
      </w:r>
      <w:r>
        <w:rPr>
          <w:rFonts w:ascii="Times New Roman;serif" w:hAnsi="Times New Roman;serif"/>
          <w:b w:val="false"/>
          <w:color w:val="000000"/>
          <w:sz w:val="20"/>
        </w:rPr>
        <w:t xml:space="preserve">in expense related to these options for the three and nine months ended September 30, 2024. The fair value of these instruments was calculated using the Black-Scholes option pricing model.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$1,137 and $3,031 and $1,612 and $5,036 in compensation expense related to restricted stock units for the three and nine months ended September 30, 2025 and 2024, respectively. A total of $8,163 remains to be recognized at September 30, 2025 over a weighted average period of 1.24 years. The fair value of these instruments is based on the closing price of our common stock as reported on the Nasdaq Capital Market on the date of grant. </w:t>
      </w:r>
    </w:p>
    <w:p>
      <w:pPr>
        <w:pStyle w:val="TextBody"/>
        <w:bidi w:val="0"/>
        <w:spacing w:lineRule="auto" w:line="288" w:before="240" w:after="283"/>
        <w:jc w:val="both"/>
        <w:rPr/>
      </w:pPr>
      <w:r>
        <w:rPr>
          <w:rFonts w:ascii="Times New Roman;serif" w:hAnsi="Times New Roman;serif"/>
          <w:b w:val="false"/>
          <w:color w:val="000000"/>
          <w:sz w:val="20"/>
        </w:rPr>
        <w:t>From time to time, the Company grants performance based restricted stock units, the expense for which will be recorded over time once the achievement of the performance is deemed probable. There was $8 and $25 in expense related to these restricted stock units recorded during the three and nine months ended September 30, 2025, respectively. There was $8 and $16</w:t>
      </w:r>
      <w:r>
        <w:rPr>
          <w:color w:val="000000"/>
        </w:rPr>
        <w:t xml:space="preserve"> </w:t>
      </w:r>
      <w:r>
        <w:rPr>
          <w:rFonts w:ascii="Times New Roman;serif" w:hAnsi="Times New Roman;serif"/>
          <w:b w:val="false"/>
          <w:color w:val="000000"/>
          <w:sz w:val="20"/>
        </w:rPr>
        <w:t xml:space="preserve">in expense related to these restricted stock units recorded for the three and nine months ended September 30, 2024. The fair value of these instruments is based on the closing price of our common stock as reported on the Nasdaq Capital Market on the date of grant.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Non-employee Director's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director's compensation program calls for the grant of restricted stock units with a one year vesting period. There was $189 and $525 and $189 and $591 included in the compensation expense discussed above related to director's compensation for the three and nine months ended September 30,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Award Modification</w:t>
      </w:r>
    </w:p>
    <w:p>
      <w:pPr>
        <w:pStyle w:val="TextBody"/>
        <w:bidi w:val="0"/>
        <w:spacing w:lineRule="auto" w:line="288" w:before="240" w:after="283"/>
        <w:jc w:val="both"/>
        <w:rPr/>
      </w:pPr>
      <w:r>
        <w:rPr>
          <w:rFonts w:ascii="Times New Roman;serif" w:hAnsi="Times New Roman;serif"/>
          <w:b w:val="false"/>
          <w:color w:val="000000"/>
          <w:sz w:val="20"/>
        </w:rPr>
        <w:t xml:space="preserve">On April 16, 2023, the Compensation Committee approved a grant to the Company’s then CEO of 86,685 restricted stock units and 161,698 stock options with a grant date fair value of $2,500 to vest over a three year period. Concurrently, the then CEO forfeited his October 2021 grant of 182,398 market-based restricted stock units. The forfeiture and accompanying grant were considered an equity modification according to ASC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 The additional compensation value created by the termination and issuance of new equity awarded, as measured using a Monte Carlo simulation, was approximately $1,900 in total. Under ASC 718 this results in a non-cash expense in current and future periods to be recognized over a three-year period. These expense values are reflected and included in the option and restricted stock expense values discussed above. At December 31, 2024, the remaining expense of $1,556 related to the October 2021 grant of market-based restricted stock units was accelerated upon the departure of the CEO. The expense for unvested stock-options and restricted stock units related to the April 2023 grant was reversed upon their forfeiture at the departure of the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9 – REVENUES</w:t>
      </w:r>
    </w:p>
    <w:p>
      <w:pPr>
        <w:pStyle w:val="TextBody"/>
        <w:bidi w:val="0"/>
        <w:spacing w:lineRule="auto" w:line="288" w:before="240" w:after="283"/>
        <w:jc w:val="both"/>
        <w:rPr/>
      </w:pPr>
      <w:r>
        <w:rPr>
          <w:rFonts w:ascii="Times New Roman;serif" w:hAnsi="Times New Roman;serif"/>
          <w:b w:val="false"/>
          <w:color w:val="000000"/>
          <w:sz w:val="20"/>
        </w:rPr>
        <w:t xml:space="preserve">Under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certain contracts which are satisfied at a point in time, primarily for consulting projects or NPI data target lists. For such contracts, we recognize revenue upon delivery of the related data, study or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contracts are generally all less than one year and the primary performance obligation is delivery of messages, or our forms of content, but the contract may contain additional services. The net contract balance for contracts in progress at September 30, 2025 and December 31, 2024, was $25,098 and $4,288, respectively. The outstanding performance obligations are expected to be satisfied during the year ending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December 31, 2024 and during the first nine months of 2025, there were two contracts with customers that included a rebate clause.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 Software as a Service, the revenue is recognized over the subscription period as services are delivered to the customer.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the Company receives. In instances where the Company resells these messaging solutions and has all financial risks and significant operation input and risk, the Company records the revenue based on the gross amount sold and the amount paid to the channel partner as a cost of sales. The amount of revenue recognized as an agent on a net basis was $9,216 and $8,370 for the nine months ended September 30, 2025 and 2024, respectively.</w:t>
      </w:r>
    </w:p>
    <w:p>
      <w:pPr>
        <w:pStyle w:val="TextBody"/>
        <w:bidi w:val="0"/>
        <w:spacing w:lineRule="auto" w:line="288" w:before="240" w:after="283"/>
        <w:jc w:val="both"/>
        <w:rPr/>
      </w:pPr>
      <w:r>
        <w:rPr>
          <w:rFonts w:ascii="Times New Roman;serif" w:hAnsi="Times New Roman;serif"/>
          <w:b w:val="false"/>
          <w:color w:val="000000"/>
          <w:sz w:val="20"/>
        </w:rPr>
        <w:t>The Company has several signed contracts with customers for the distribution of messaging, or other services, which include payment in advance. The payments are not recorded as revenue until the revenue is earned under its revenue recognition policy. Deferred revenue was $395 and $473 as of September 30, 2025 and December 31, 2024, respectively. The contracts are all short term in nature and all revenue is expected to be recognized within 12 months, or less. The following is a summary of activity for the deferred revenue account for the nine months ended September 30,</w:t>
      </w:r>
      <w:r>
        <w:rPr>
          <w:color w:val="000000"/>
        </w:rPr>
        <w:t xml:space="preserve"> </w:t>
      </w:r>
      <w:r>
        <w:rPr>
          <w:rFonts w:ascii="Times New Roman;serif" w:hAnsi="Times New Roman;serif"/>
          <w:b w:val="false"/>
          <w:color w:val="000000"/>
          <w:sz w:val="20"/>
        </w:rPr>
        <w:t>2025 and 2024, respectively:</w:t>
      </w:r>
    </w:p>
    <w:tbl>
      <w:tblPr>
        <w:tblW w:w="4042" w:type="dxa"/>
        <w:jc w:val="left"/>
        <w:tblInd w:w="0" w:type="dxa"/>
        <w:tblLayout w:type="fixed"/>
        <w:tblCellMar>
          <w:top w:w="28" w:type="dxa"/>
          <w:left w:w="28" w:type="dxa"/>
          <w:bottom w:w="28" w:type="dxa"/>
          <w:right w:w="28" w:type="dxa"/>
        </w:tblCellMar>
      </w:tblPr>
      <w:tblGrid>
        <w:gridCol w:w="701"/>
        <w:gridCol w:w="614"/>
        <w:gridCol w:w="620"/>
        <w:gridCol w:w="215"/>
        <w:gridCol w:w="475"/>
        <w:gridCol w:w="109"/>
        <w:gridCol w:w="109"/>
        <w:gridCol w:w="109"/>
        <w:gridCol w:w="109"/>
        <w:gridCol w:w="211"/>
        <w:gridCol w:w="61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Consistent with ASC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tbl>
      <w:tblPr>
        <w:tblW w:w="8399" w:type="dxa"/>
        <w:jc w:val="left"/>
        <w:tblInd w:w="0" w:type="dxa"/>
        <w:tblLayout w:type="fixed"/>
        <w:tblCellMar>
          <w:top w:w="28" w:type="dxa"/>
          <w:left w:w="28" w:type="dxa"/>
          <w:bottom w:w="28" w:type="dxa"/>
          <w:right w:w="28" w:type="dxa"/>
        </w:tblCellMar>
      </w:tblPr>
      <w:tblGrid>
        <w:gridCol w:w="1163"/>
        <w:gridCol w:w="1022"/>
        <w:gridCol w:w="10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allowance for credit losses for the nine months ended September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120" w:after="283"/>
        <w:jc w:val="left"/>
        <w:rPr/>
      </w:pPr>
      <w:r>
        <w:rPr/>
      </w:r>
    </w:p>
    <w:p>
      <w:pPr>
        <w:pStyle w:val="TextBody"/>
        <w:bidi w:val="0"/>
        <w:spacing w:before="120" w:after="283"/>
        <w:jc w:val="left"/>
        <w:rPr/>
      </w:pPr>
      <w:r>
        <w:rPr/>
      </w:r>
    </w:p>
    <w:tbl>
      <w:tblPr>
        <w:tblW w:w="4585" w:type="dxa"/>
        <w:jc w:val="left"/>
        <w:tblInd w:w="0" w:type="dxa"/>
        <w:tblLayout w:type="fixed"/>
        <w:tblCellMar>
          <w:top w:w="28" w:type="dxa"/>
          <w:left w:w="28" w:type="dxa"/>
          <w:bottom w:w="28" w:type="dxa"/>
          <w:right w:w="28" w:type="dxa"/>
        </w:tblCellMar>
      </w:tblPr>
      <w:tblGrid>
        <w:gridCol w:w="799"/>
        <w:gridCol w:w="701"/>
        <w:gridCol w:w="705"/>
        <w:gridCol w:w="211"/>
        <w:gridCol w:w="466"/>
        <w:gridCol w:w="109"/>
        <w:gridCol w:w="109"/>
        <w:gridCol w:w="109"/>
        <w:gridCol w:w="109"/>
        <w:gridCol w:w="211"/>
        <w:gridCol w:w="466"/>
        <w:gridCol w:w="109"/>
        <w:gridCol w:w="109"/>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record revenue based on our revenue recognition policies in advance of being able to invoice the customer, or we may invoice the customer prior to being able to recognize the revenue. Included in accounts receivable are unbilled amounts of $3,722 and $3,241 at September 30, 2025 and December 31, 2024, respectively. Amounts billed in advance of revenue recognition are presented as deferred revenue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10 –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 at the time of the acquisition and recorded the patent at that cost. That patent remains in Patents Rights on the condensed consolidated balance sheet as of September 30, 2025 and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Jim Lang, one of our Board Members, is the CEO of Eversana, a leading global provider of services to the life sciences industry. Eversana is similar to other customers from which we generate revenue, such as agencies or resellers. During the three and nine months ended September 30, 2025 and 2024, we have recognized $250 and $735 and $200 and $272, respectively, in revenue from contracts engaged with Eversana. These contracts were sourced by Eversana on behalf of life science customers of theirs. The contracts are at market rates and were generated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INCOME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(loss) by the weighted average number of common shares outstanding during the period.</w:t>
      </w:r>
    </w:p>
    <w:p>
      <w:pPr>
        <w:pStyle w:val="TextBody"/>
        <w:bidi w:val="0"/>
        <w:spacing w:lineRule="auto" w:line="288" w:before="240" w:after="283"/>
        <w:jc w:val="both"/>
        <w:rPr/>
      </w:pPr>
      <w:r>
        <w:rPr>
          <w:rFonts w:ascii="Times New Roman;serif" w:hAnsi="Times New Roman;serif"/>
          <w:b w:val="false"/>
          <w:color w:val="000000"/>
          <w:sz w:val="20"/>
        </w:rPr>
        <w:t xml:space="preserve">The number of shares related to options and restricted stock units included in diluted EPS is based on the “Treasury Stock Method” prescribed in ASC 260-10, </w:t>
      </w:r>
      <w:r>
        <w:rPr>
          <w:rFonts w:ascii="Times New Roman;serif" w:hAnsi="Times New Roman;serif"/>
          <w:b w:val="false"/>
          <w:i/>
          <w:color w:val="000000"/>
          <w:sz w:val="20"/>
        </w:rPr>
        <w:t>Earnings per Share</w:t>
      </w:r>
      <w:r>
        <w:rPr>
          <w:rFonts w:ascii="Times New Roman;serif" w:hAnsi="Times New Roman;serif"/>
          <w:b w:val="false"/>
          <w:color w:val="000000"/>
          <w:sz w:val="20"/>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INCOME (LOSS) PER SHARE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w:t>
      </w:r>
    </w:p>
    <w:tbl>
      <w:tblPr>
        <w:tblW w:w="10205" w:type="dxa"/>
        <w:jc w:val="left"/>
        <w:tblInd w:w="0" w:type="dxa"/>
        <w:tblLayout w:type="fixed"/>
        <w:tblCellMar>
          <w:top w:w="28" w:type="dxa"/>
          <w:left w:w="28" w:type="dxa"/>
          <w:bottom w:w="28" w:type="dxa"/>
          <w:right w:w="28" w:type="dxa"/>
        </w:tblCellMar>
      </w:tblPr>
      <w:tblGrid>
        <w:gridCol w:w="1651"/>
        <w:gridCol w:w="1383"/>
        <w:gridCol w:w="1384"/>
        <w:gridCol w:w="315"/>
        <w:gridCol w:w="766"/>
        <w:gridCol w:w="109"/>
        <w:gridCol w:w="109"/>
        <w:gridCol w:w="109"/>
        <w:gridCol w:w="109"/>
        <w:gridCol w:w="270"/>
        <w:gridCol w:w="811"/>
        <w:gridCol w:w="109"/>
        <w:gridCol w:w="109"/>
        <w:gridCol w:w="109"/>
        <w:gridCol w:w="109"/>
        <w:gridCol w:w="315"/>
        <w:gridCol w:w="766"/>
        <w:gridCol w:w="109"/>
        <w:gridCol w:w="109"/>
        <w:gridCol w:w="109"/>
        <w:gridCol w:w="109"/>
        <w:gridCol w:w="240"/>
        <w:gridCol w:w="841"/>
        <w:gridCol w:w="155"/>
      </w:tblGrid>
      <w:tr>
        <w:trPr/>
        <w:tc>
          <w:tcPr>
            <w:tcW w:w="165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in computing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warrants, and stock grants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19,459,877 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18,323,542 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19,021,905 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18,250,775 </w:t>
            </w:r>
          </w:p>
        </w:tc>
        <w:tc>
          <w:tcPr>
            <w:tcW w:w="15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common shares potentially issuable upon the exercise of certain options and the vesting of certain restricted stock units that were excluded from the diluted loss per common share calculation are reflected in the table below.</w:t>
      </w:r>
    </w:p>
    <w:tbl>
      <w:tblPr>
        <w:tblW w:w="10205" w:type="dxa"/>
        <w:jc w:val="left"/>
        <w:tblInd w:w="0" w:type="dxa"/>
        <w:tblLayout w:type="fixed"/>
        <w:tblCellMar>
          <w:top w:w="28" w:type="dxa"/>
          <w:left w:w="28" w:type="dxa"/>
          <w:bottom w:w="28" w:type="dxa"/>
          <w:right w:w="28" w:type="dxa"/>
        </w:tblCellMar>
      </w:tblPr>
      <w:tblGrid>
        <w:gridCol w:w="1688"/>
        <w:gridCol w:w="1482"/>
        <w:gridCol w:w="1492"/>
        <w:gridCol w:w="413"/>
        <w:gridCol w:w="413"/>
        <w:gridCol w:w="198"/>
        <w:gridCol w:w="198"/>
        <w:gridCol w:w="198"/>
        <w:gridCol w:w="198"/>
        <w:gridCol w:w="364"/>
        <w:gridCol w:w="357"/>
        <w:gridCol w:w="212"/>
        <w:gridCol w:w="109"/>
        <w:gridCol w:w="109"/>
        <w:gridCol w:w="109"/>
        <w:gridCol w:w="413"/>
        <w:gridCol w:w="413"/>
        <w:gridCol w:w="186"/>
        <w:gridCol w:w="183"/>
        <w:gridCol w:w="183"/>
        <w:gridCol w:w="183"/>
        <w:gridCol w:w="413"/>
        <w:gridCol w:w="413"/>
        <w:gridCol w:w="278"/>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for the periods ended</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138,074 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883,678 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502,240 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146,924 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12 – COMMITMENTS AND CONTINGENCIES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arrangements with partners to acquire minimum amounts of media, data or messaging capabilities. As of September 30, 2025, the Company had commitments for future minimum payments of $9,609 that will be reflected in cost of revenues during the years from 2025 through 2029. Minimum payments are due in the remainder of 2025 and fiscal 2026 and 2027 in the amounts of $4,151, $3,833 and $1,625,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13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a provision for income taxes of $270 and a benefit from income taxes of $633, respectively, for the three and nine months ended September 30, 2025, representing an effective tax rate of 25.7% and 121.5%, respectively. The effective tax rate for the three and nine months ended September 30, 2025 reflects the impact of certain permanent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13 – INCOME TAXES (CONTINUED)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items and discrete items for the quarter related to projected decreases in our valuation allowance and to stock 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reported a benefit from income taxes of $817 and $1,561 for the three and nine months ended September 30, 2024, representing an effective tax rate of 8.2% and 7.2%. The effective tax rate for the three and nine months ended September 30, 2024 reflects the impact of certain permanent items, projected increases in our valuation allowance during the year and discrete items for the quarter related to stock 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to the extent it believes these assets are more-likely-than-not to be realized. In making such a determination, the Company considers all available positive and negative evidence, including future reversals of existing temporary differences, projected future taxable income, tax planning strategies and recent results of operations. On the basis of this evaluation, as of the quarter ended March 31, 2025, the valuation allowance has been reduced to $1,900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pStyle w:val="TextBody"/>
        <w:bidi w:val="0"/>
        <w:spacing w:lineRule="auto" w:line="288" w:before="240" w:after="283"/>
        <w:jc w:val="both"/>
        <w:rPr/>
      </w:pPr>
      <w:r>
        <w:rPr>
          <w:rFonts w:ascii="Times New Roman;serif" w:hAnsi="Times New Roman;serif"/>
          <w:b w:val="false"/>
          <w:color w:val="000000"/>
          <w:sz w:val="20"/>
        </w:rPr>
        <w:t xml:space="preserve">On July 4, 2025, the One Big Beautiful Bill Act (“OBBBA”) was signed into law which is considered the enactment date under the accounting principles generally accepted in the United States (“GAAP”). OBBBA introduces significant changes to the Internal Revenue Code, including the permanent extension of many provisions of the 2017 Tax Cuts and Jobs Act (“TCJA”) and various new tax incentives and adjustments. In accordance with ASC 740, </w:t>
      </w:r>
      <w:r>
        <w:rPr>
          <w:rFonts w:ascii="Times New Roman;serif" w:hAnsi="Times New Roman;serif"/>
          <w:b w:val="false"/>
          <w:i/>
          <w:color w:val="000000"/>
          <w:sz w:val="20"/>
        </w:rPr>
        <w:t>Inc</w:t>
      </w:r>
      <w:r>
        <w:rPr>
          <w:rFonts w:ascii="Times New Roman;serif" w:hAnsi="Times New Roman;serif"/>
          <w:b w:val="false"/>
          <w:color w:val="000000"/>
          <w:sz w:val="20"/>
        </w:rPr>
        <w:t>o</w:t>
      </w:r>
      <w:r>
        <w:rPr>
          <w:rFonts w:ascii="Times New Roman;serif" w:hAnsi="Times New Roman;serif"/>
          <w:b w:val="false"/>
          <w:i/>
          <w:color w:val="000000"/>
          <w:sz w:val="20"/>
        </w:rPr>
        <w:t>me Taxes</w:t>
      </w:r>
      <w:r>
        <w:rPr>
          <w:rFonts w:ascii="Times New Roman;serif" w:hAnsi="Times New Roman;serif"/>
          <w:b w:val="false"/>
          <w:color w:val="000000"/>
          <w:sz w:val="20"/>
        </w:rPr>
        <w:t xml:space="preserve">, the effects of the new tax law will be recognized in the period of enactment. The Company has completed its initial assessment of the OBBBA corporate tax provisions. The OBBBA contained a number of U.S. corporate tax provisions of which the Company elected to expense U.S. incurred research or experimental expenditures immediately, full bonus depreciation for certain assets placed into service after January 19, 2025 and changes to Section 163(j) interest limitations. The Company has completed its initial assessment of the OBBBA corporate tax provisions in the current quarter and have determined that there is no material impact on the Company's estimated effective tax rate in 2025. The Company continues to evaluate the impact of the new legislation on its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our annual report on Form 10-K for the year ended December 31, 2024, we had net operating loss carry-forwards for federal income tax purposes of approximately $11,600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14 –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Subsequent to quarter end, on October 29, 2025, the Company repaid approximately $2,000 of its Term Loan, reducing the outstanding balance to $26,790.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platforms and electronic health record systems, agreements with electronic prescription platforms and electronic health record systems being subject to audit; inability to attract and retain customers; federal or state legislation or regulatory action and/or policy efforts restricting direct-to-consumer advertising and limitations on interactions with healthcare professionals; inability to comply with laws and regulations that affect the healthcare industry; competition; developments in the healthcare industry; inability to manage growth; inability to identify suitable acquisition targets, complete acquisitions, or integrate acquisitions successfully; acquisition activities may disrupt ongoing business and may involve increased expenses; inability to realize the financial and strategic goals contemplated at the time of a transaction; inability to realize any synergies or other anticipated benefits of an acquisition or that such synergies or benefits may take longer than anticipated to be realized; risk that the integration with an acquired entity may be more costly or difficult than expected; 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 inability to comply with the restrictions in our credit agreement; inability to generate sufficient cash to service debt and fund other obligations; inability to raise capital to grow business on favorable terms or at all;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2024. Moreover, we operate in a rapidly changing and competitive environment. New risk factors emerge from time to time, and it is not possible for management to predict all such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Dynamic Audience Activation Platform (“DAAP”), which uses sophisticated machine-learning algorithms to find the best audiences in the correct channels at the right time.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pharmaceutical industry is dominated by large companies with multiple brands, our revenue is concentrated in a relatively small number of companies. We have approximately 100 pharmaceutical companies as customers, and our revenues are concentrated among the largest pharmaceutical companies in the world. Loss of one or more of our larger customers could have a negative impact on our operating results. Our top five customers represented approximately 49% and 44% of our revenue for the years ended December 31, 2024 and 2023, respectively. In 2024 and 2023, we had two customers and one customer, respectively, that represented more than 10% of our revenues.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Impact of Macroeconomic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Unfavorable conditions in the economy may negatively affect the growth of our business and our results of operations. For example, macroeconomic events including rising inflation and interest rates have led to economic uncertainty in the recent past, and threats of multinational tariffs and retaliatory tariffs provide uncertainty as to heightened inflation in the domestic markets.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monitor the following key performance indicators to help us evaluate our </w:t>
      </w:r>
      <w:r>
        <w:rPr>
          <w:rFonts w:ascii="Times New Roman;serif" w:hAnsi="Times New Roman;serif"/>
          <w:b w:val="false"/>
          <w:color w:val="000000"/>
          <w:sz w:val="20"/>
        </w:rPr>
        <w:t>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color w:val="000000"/>
          <w:sz w:val="20"/>
        </w:rPr>
        <w:t xml:space="preserve">Average revenue per top 20 pharmaceutical manufacturer. </w:t>
      </w:r>
      <w:r>
        <w:rPr>
          <w:rFonts w:ascii="Times New Roman;serif" w:hAnsi="Times New Roman;serif"/>
          <w:b w:val="false"/>
          <w:color w:val="000000"/>
          <w:sz w:val="20"/>
        </w:rPr>
        <w:t>Average revenue per top 20 pharmaceutical manufacturer is calculated by taking the total revenue the Company recognized through pharmaceutical manufacturers listed in Fierce Pharma’s “The top 20 pharma companies by 2024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the twelve months ended September 30, 2025 as compared to the twelve months ended September 30, 2024 is primarily the result of stronger DTC and DAAP related revenue streams (in thousands).</w:t>
      </w:r>
    </w:p>
    <w:tbl>
      <w:tblPr>
        <w:tblW w:w="6999" w:type="dxa"/>
        <w:jc w:val="left"/>
        <w:tblInd w:w="0" w:type="dxa"/>
        <w:tblLayout w:type="fixed"/>
        <w:tblCellMar>
          <w:top w:w="28" w:type="dxa"/>
          <w:left w:w="28" w:type="dxa"/>
          <w:bottom w:w="28" w:type="dxa"/>
          <w:right w:w="28" w:type="dxa"/>
        </w:tblCellMar>
      </w:tblPr>
      <w:tblGrid>
        <w:gridCol w:w="1723"/>
        <w:gridCol w:w="1514"/>
        <w:gridCol w:w="1518"/>
        <w:gridCol w:w="211"/>
        <w:gridCol w:w="616"/>
        <w:gridCol w:w="109"/>
        <w:gridCol w:w="109"/>
        <w:gridCol w:w="109"/>
        <w:gridCol w:w="109"/>
        <w:gridCol w:w="211"/>
        <w:gridCol w:w="61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September 30,</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Percent of total revenue attributable to top 20 pharmaceutical manufacturers.</w:t>
      </w:r>
      <w:r>
        <w:rPr>
          <w:color w:val="000000"/>
        </w:rPr>
        <w:t xml:space="preserve"> </w:t>
      </w:r>
      <w:r>
        <w:rPr>
          <w:rFonts w:ascii="Times New Roman;serif" w:hAnsi="Times New Roman;serif"/>
          <w:b w:val="false"/>
          <w:color w:val="000000"/>
          <w:sz w:val="20"/>
        </w:rPr>
        <w:t>Percent of total revenue attributable to top 20 pharmaceutical manufacturers is calculated by taking the total revenue the company recognized through pharmaceutical manufacturers listed in Fierce Pharma’s “The top 20 pharma companies by 2024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This decrease in our percent of total revenue attributable to top 20 pharmaceutical manufacturers, in conjunction with the increase in average revenue per top 20 pharmaceutical manufacturer discussed above, is reflective of the onboarding and growth of other customers that are not top 20 pharmaceutical manufacturers and not a decrease in our activity with top 20 pharmaceutical manufacturers.</w:t>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2277"/>
        <w:gridCol w:w="2001"/>
        <w:gridCol w:w="2006"/>
        <w:gridCol w:w="206"/>
        <w:gridCol w:w="174"/>
        <w:gridCol w:w="433"/>
        <w:gridCol w:w="174"/>
        <w:gridCol w:w="174"/>
        <w:gridCol w:w="174"/>
        <w:gridCol w:w="206"/>
        <w:gridCol w:w="174"/>
        <w:gridCol w:w="505"/>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September 30,</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Net revenue retention.</w:t>
      </w:r>
      <w:r>
        <w:rPr>
          <w:color w:val="000000"/>
        </w:rPr>
        <w:t xml:space="preserve"> </w:t>
      </w:r>
      <w:r>
        <w:rPr>
          <w:rFonts w:ascii="Times New Roman;serif" w:hAnsi="Times New Roman;serif"/>
          <w:b w:val="false"/>
          <w:color w:val="000000"/>
          <w:sz w:val="20"/>
        </w:rPr>
        <w:t xml:space="preserve">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Net revenue for the period ending September 30, 2024 benefited from the timing of the Medicx Health acquisition, which was consummated on October 12, 2023, as its comparator period (the trailing twelve months ended September 30, 2023) did not have any Medicx Health related revenue. The period ended September 30, 2025 did not have the same magnitude of inorganic benefit from the Medicx Health acquisition; however, the Company still retained a 120% net revenue retention in the period as a result of strong organic growth from existing customers. </w:t>
      </w:r>
    </w:p>
    <w:tbl>
      <w:tblPr>
        <w:tblW w:w="4267" w:type="dxa"/>
        <w:jc w:val="left"/>
        <w:tblInd w:w="0" w:type="dxa"/>
        <w:tblLayout w:type="fixed"/>
        <w:tblCellMar>
          <w:top w:w="28" w:type="dxa"/>
          <w:left w:w="28" w:type="dxa"/>
          <w:bottom w:w="28" w:type="dxa"/>
          <w:right w:w="28" w:type="dxa"/>
        </w:tblCellMar>
      </w:tblPr>
      <w:tblGrid>
        <w:gridCol w:w="679"/>
        <w:gridCol w:w="596"/>
        <w:gridCol w:w="600"/>
        <w:gridCol w:w="266"/>
        <w:gridCol w:w="200"/>
        <w:gridCol w:w="433"/>
        <w:gridCol w:w="174"/>
        <w:gridCol w:w="174"/>
        <w:gridCol w:w="174"/>
        <w:gridCol w:w="266"/>
        <w:gridCol w:w="200"/>
        <w:gridCol w:w="505"/>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 xml:space="preserve">We define revenue per average full-time employee (“FTE”),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 employee increased year over year due to revenue growing at a higher rate than the average number of FTEs over the last 12 month period (in thousands).</w:t>
      </w:r>
    </w:p>
    <w:tbl>
      <w:tblPr>
        <w:tblW w:w="5564" w:type="dxa"/>
        <w:jc w:val="left"/>
        <w:tblInd w:w="0" w:type="dxa"/>
        <w:tblLayout w:type="fixed"/>
        <w:tblCellMar>
          <w:top w:w="28" w:type="dxa"/>
          <w:left w:w="28" w:type="dxa"/>
          <w:bottom w:w="28" w:type="dxa"/>
          <w:right w:w="28" w:type="dxa"/>
        </w:tblCellMar>
      </w:tblPr>
      <w:tblGrid>
        <w:gridCol w:w="1234"/>
        <w:gridCol w:w="1082"/>
        <w:gridCol w:w="1089"/>
        <w:gridCol w:w="234"/>
        <w:gridCol w:w="518"/>
        <w:gridCol w:w="121"/>
        <w:gridCol w:w="121"/>
        <w:gridCol w:w="121"/>
        <w:gridCol w:w="121"/>
        <w:gridCol w:w="234"/>
        <w:gridCol w:w="518"/>
        <w:gridCol w:w="171"/>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September 30,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Three and Nine Months Ended September 30,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for the periods indicated, the dollar value and percentage of net revenue represented by certain items in our condensed consolidated statements of operations (in thousands):</w:t>
      </w:r>
    </w:p>
    <w:tbl>
      <w:tblPr>
        <w:tblW w:w="8187" w:type="dxa"/>
        <w:jc w:val="left"/>
        <w:tblInd w:w="0" w:type="dxa"/>
        <w:tblLayout w:type="fixed"/>
        <w:tblCellMar>
          <w:top w:w="28" w:type="dxa"/>
          <w:left w:w="28" w:type="dxa"/>
          <w:bottom w:w="28" w:type="dxa"/>
          <w:right w:w="28" w:type="dxa"/>
        </w:tblCellMar>
      </w:tblPr>
      <w:tblGrid>
        <w:gridCol w:w="1431"/>
        <w:gridCol w:w="1262"/>
        <w:gridCol w:w="1266"/>
        <w:gridCol w:w="211"/>
        <w:gridCol w:w="721"/>
        <w:gridCol w:w="109"/>
        <w:gridCol w:w="308"/>
        <w:gridCol w:w="308"/>
        <w:gridCol w:w="271"/>
        <w:gridCol w:w="109"/>
        <w:gridCol w:w="109"/>
        <w:gridCol w:w="109"/>
        <w:gridCol w:w="211"/>
        <w:gridCol w:w="721"/>
        <w:gridCol w:w="109"/>
        <w:gridCol w:w="308"/>
        <w:gridCol w:w="308"/>
        <w:gridCol w:w="316"/>
      </w:tblGrid>
      <w:tr>
        <w:trPr/>
        <w:tc>
          <w:tcPr>
            <w:tcW w:w="1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8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net revenue information may not add due to rounding</w:t>
            </w:r>
          </w:p>
        </w:tc>
      </w:tr>
    </w:tbl>
    <w:tbl>
      <w:tblPr>
        <w:tblW w:w="7558" w:type="dxa"/>
        <w:jc w:val="left"/>
        <w:tblInd w:w="0" w:type="dxa"/>
        <w:tblLayout w:type="fixed"/>
        <w:tblCellMar>
          <w:top w:w="28" w:type="dxa"/>
          <w:left w:w="28" w:type="dxa"/>
          <w:bottom w:w="28" w:type="dxa"/>
          <w:right w:w="28" w:type="dxa"/>
        </w:tblCellMar>
      </w:tblPr>
      <w:tblGrid>
        <w:gridCol w:w="1177"/>
        <w:gridCol w:w="1037"/>
        <w:gridCol w:w="1041"/>
        <w:gridCol w:w="211"/>
        <w:gridCol w:w="721"/>
        <w:gridCol w:w="109"/>
        <w:gridCol w:w="308"/>
        <w:gridCol w:w="308"/>
        <w:gridCol w:w="271"/>
        <w:gridCol w:w="109"/>
        <w:gridCol w:w="109"/>
        <w:gridCol w:w="109"/>
        <w:gridCol w:w="211"/>
        <w:gridCol w:w="796"/>
        <w:gridCol w:w="109"/>
        <w:gridCol w:w="308"/>
        <w:gridCol w:w="308"/>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5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net revenue information may not add due to rounding</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net revenue increased 22% to $26,067 for the three months ended September 30, 2025 from $21,309 from the same period in 2024. Our net revenue increased 29% to $77,190 for the nine months ended September 30, 2025 from $59,811 from the same period in 2024. The increase in net revenue was a result of the growth of DTC and DAAP related sales.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revenues, composed primarily of revenue-share expense paid to our channel partners, increased for the three months ended September 30, 2025 to $8,551 compared to $7,862 for the same period of 2024. Our cost of revenues as a percentage of revenue decreased to approximately 33% for the three months ended September 30, 2025 from approximately 37% for the three months ended September 30, 2024. Our cost of revenues increased for the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ended September 30, 2025 to $27,695 compared to $22,456 for the nine months ended September 30, 2024. Our cost of revenues as a percentage of revenue decreased to approximately 36% for the nine months ended September 30, 2025 from approximately 38% for the nine months ended September 30, 2024. This improvement in cost of revenues as a percentage of revenues was primarily a result of solution and channel partner mix.</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gross margin, which is the difference between our revenues and our cost of revenues, divided by our revenues, increased for the three months ended September 30, 2025 and the nine months ended September 30, 2025 compared to the same periods of 2024, primarily due to product and channel partner mix. Further, the increase in revenue year over year diluted the effect of certain fixed cost of sales on gross margin.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decreased to $15,466 for the three months ended September 30, 2025 from $22,009 for the same period in 2024, a decrease of approximately 30%. For nine months ended September 30, 2025, operating expenses decreased to $46,371 from $54,695 for the nine months ended September 30, 2024, a decrease of approximately 15%. The detail by major category is reflected in the table below (in thousands).</w:t>
      </w:r>
    </w:p>
    <w:tbl>
      <w:tblPr>
        <w:tblW w:w="10042" w:type="dxa"/>
        <w:jc w:val="left"/>
        <w:tblInd w:w="0" w:type="dxa"/>
        <w:tblLayout w:type="fixed"/>
        <w:tblCellMar>
          <w:top w:w="28" w:type="dxa"/>
          <w:left w:w="28" w:type="dxa"/>
          <w:bottom w:w="28" w:type="dxa"/>
          <w:right w:w="28" w:type="dxa"/>
        </w:tblCellMar>
      </w:tblPr>
      <w:tblGrid>
        <w:gridCol w:w="1289"/>
        <w:gridCol w:w="1130"/>
        <w:gridCol w:w="1136"/>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decreased to $1,956 for the three months ended September 30, 2025 from $2,604 for the three months ended September 30, 2024, and decreased to $5,002 for the nine months ended September 30, 2025 from $8,530 for the nine months ended September 30, 2024. The decrease in stock-based compensation expense in both periods primarily reflects changes in the Company’s stock price, which affects the grant-date fair value of awards. The Company’s stock price peaked in 2021, resulting in higher grant-date fair values for awards issued during that period. These higher-valued awards were generally amortized over a three-year vesting period, which concluded in 2024. In addition, stock-based compensation expense in the prior year included costs associated with awards granted to the former CEO, which were forfeited as of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remained consistent, slightly decreasing at $1,080 for the three months ended September 30, 2025 from $1,095 for the three months ended September 30, 2024, and remained consistent, slightly increasing to $3,249 for the nine months ended September 30, 2025 from $3,235 for the nine months ended September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 goodwill impairment in the three months ended September 30, 2025, whereas the Company recorded goodwill impairment in the amount of $7,489 in the three months ended September 30, 2024. This amount represented the excess of the book value of the Company’s equity over the estimated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general and administrative expenses increased to $12,430 for the three months ended September 30, 2025 from $10,821 for the three months ended September 30, 2024, and increased to $38,120 for the nine months ended September 30, 2025 from $35,441 for the nine months ended September 30, 2024. This increase in both periods is primarily a result of an increase in compensation expense. The increase reflects higher variable compensation tied to sales achievement and performance-based incentive plans aligned with our operating results. These increases were partially offset by cost savings realized across various expense categories as a result of ongoing efficiency initiatives.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to $1,154 for the three months ended September 30, 2025 from $1,524 for the three months ended September 30, 2024, and decreased to $4,053 for the nine months ended September 30, 2025 from $4,597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nine months ended September 30, 2024. Interest expense represents interest charges on our Term Loan, together with the amortization of the related issuance costs. The decrease in both periods is primarily a result of the decrease in the interest rate on the Term Loan and a lower average principal balance for the three months ended September 30, 2025 as compared to the three months ended September 30, 2024 and for the nine months ended September 30, 2025 as compared to the nine months ended September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$91 for the three months ended September 30, 2025 from $107 for the three months ended September 30, 2024, and increased to $269 for the nine months ended September 30, 2025 from $231 for the nine months ended September 30, 2024. The variability in interest income is a result in the fluctuation of interest rates as the balance in the Company's money market account has remained consistent.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was $270, or an effective rate of 25.7%, and income tax benefit was $633, or an effective rate of (121.5)% for the three and nine months ended September 30, 2025, respectively. Income tax benefit was approximately $817, or an effective rate of 8.2%, and $1,561, or an effective rate of 7.2% for the three and nine months ended September 30, 2024, respectively. For further information, see Part I, Item I. Financial Statements; Note 13 — Income Taxes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a net income of approximately $779 for the three months ended September 30, 2025, as compared to a net loss of approximately $(9,124) during the three months ended September 30, 2024 and a net income of approximately $112 for the nine months ended September 30, 2025 as compared to a net loss of $(20,032) for the nine months ended September 30, 2024. The reasons and specific components associated with the change are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been cash receipts from customers and proceeds from equity offerings. In addition, on October 11, 2023, the Company entered into a Term Loan of $40,000 in order to partially fund the acquisition of Medicx Health. As of September 30, 2025, the total principal balance outstanding on the Term Loan was approximately $28,790 and we were in compliance with all of the financial covenants of the Term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total current assets of approximately $56,320, compared with current liabilities of approximately $18,466, resulting in working capital of approximately $37,854 and a current ratio of approximately 3.0 to 1. This represents an increase from our working capital of approximately $35,317 and a consistent current ratio compared to 3.0 to 1 at December 31,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 We currently have an effective shelf registration statement, which allows us to issue, from time to time, up to $75,000 of any combination of our common stock, preferred stock, debt securities, warrants, or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is a table with summary data from the condensed consolidated statements of cash flows for the nine months ended September 30, 2025 and 2024, as presented (in thousands).</w:t>
      </w:r>
    </w:p>
    <w:tbl>
      <w:tblPr>
        <w:tblW w:w="6506" w:type="dxa"/>
        <w:jc w:val="left"/>
        <w:tblInd w:w="0" w:type="dxa"/>
        <w:tblLayout w:type="fixed"/>
        <w:tblCellMar>
          <w:top w:w="28" w:type="dxa"/>
          <w:left w:w="28" w:type="dxa"/>
          <w:bottom w:w="28" w:type="dxa"/>
          <w:right w:w="28" w:type="dxa"/>
        </w:tblCellMar>
      </w:tblPr>
      <w:tblGrid>
        <w:gridCol w:w="1254"/>
        <w:gridCol w:w="1104"/>
        <w:gridCol w:w="1107"/>
        <w:gridCol w:w="273"/>
        <w:gridCol w:w="934"/>
        <w:gridCol w:w="141"/>
        <w:gridCol w:w="141"/>
        <w:gridCol w:w="141"/>
        <w:gridCol w:w="141"/>
        <w:gridCol w:w="273"/>
        <w:gridCol w:w="798"/>
        <w:gridCol w:w="199"/>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Our operating activities provided</w:t>
      </w:r>
      <w:r>
        <w:rPr>
          <w:color w:val="000000"/>
        </w:rPr>
        <w:t xml:space="preserve"> </w:t>
      </w:r>
      <w:r>
        <w:rPr>
          <w:rFonts w:ascii="Times New Roman;serif" w:hAnsi="Times New Roman;serif"/>
          <w:b w:val="false"/>
          <w:color w:val="000000"/>
          <w:sz w:val="20"/>
        </w:rPr>
        <w:t>$11,627 during the nine months ended September 30, 2025, compared with $4,691 in the same period in 2024. The net increase in net cash provided by operating activities was mainly attributable to a $20,144 increase in net income (loss). This was partially offset by a $3,528 decrease in noncash expense related to stock based compensation, a $3,810 decrease in cash flows from accounts receivable and a $3,037 decrease in cash flows from taxes receivable and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used $138 during the nine months ended September 30, 2025, compared with $330 in the same period in 2024. The decrease in net cash used in investing activities was mainly attributed to a decrease in capitalization of internally developed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used $5,350 during the nine months ended September 30, 2025, compared with $2,087 in the same period in 2024. The increase in net cash used for financing activities was primarily related to the increase in repayments of long-term debt partially offset by a decrease in payments of withholding taxes on behalf of employees vesting in restricted stock units and an increase in the receipt of funds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conformity with accounting principles generally accepted in the United States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The following areas all require the use of subjective or complex judgments, estimates or assumptions: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stock-based compensation.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significant accounting policies are described in Note 2 to the Consolidated Financial Statements in the Annual Report on Form 10-K for the year ended December 31, 2024 (2024 Annual Report on Form 10-K). The accounting policies we used in preparing these financial statements are substantially consistent with those we applied in our 2024 Annual Report on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included in the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 to adopt ASU 2023-09 for the annual period ending December 31, 2025, and the adoption will not materially affect our financial position or our results of operations, but the Company expects the adoption to result in additional disclosures. </w:t>
      </w:r>
    </w:p>
    <w:p>
      <w:pPr>
        <w:pStyle w:val="TextBody"/>
        <w:bidi w:val="0"/>
        <w:spacing w:lineRule="auto" w:line="288" w:before="240" w:after="283"/>
        <w:jc w:val="both"/>
        <w:rPr/>
      </w:pPr>
      <w:r>
        <w:rPr>
          <w:rFonts w:ascii="Times New Roman;serif" w:hAnsi="Times New Roman;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(“ASU 2025-05”), ASU No. 2025-05, Financial Instruments – Credit Losses (Topic 326): Measurement of Credit Losses for Accounts Receivable and Contract Assets. ASU 2025-05 provides (1) all entities with a practical expedient and (2) entities other than public business entities, with an accounting policy election when estimating credit losses for current accounts receivable and current contract assets arising from transactions accounted for under Topic 606. This authoritative guidance is effective for annual periods beginning after December 15, 2025, and interim reporting periods within those annual reporting periods, with early adoption permitted. We are currently evaluating the impact of adopting ASU 2025-05.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(“ASU 2025-06”), ASU No. 2025-06, Intangibles—Goodwill and Other — Internal-Use Software (Subtopic 350-40): Targeted Improvements to the Accounting for Internal-Use Software.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arrangements with channel partners to acquire minimum amounts of media, data or messaging capabilities. As of September 30, 2025, the Company had commitments with channel partners for future minimum payments of $9,609 that will be reflected in cost of revenues during the remainder of 2025 and years from 2026 through 2029. See Part I, Item 2. Financial Statements; Note 12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ensuring data received from third-party service organizations were complete and accurate.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address the material weakness referenced above, the Company performed additional analysis and performed other procedures to prepare the condensed consolidated financial statements in accordance with GAAP.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condensed consolidated financial statements included in this quarterly report on this Form 10-Q fairly present, in all material respects, our financial condition, results of operations and cash flows for the periods presented.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Ongoing Remediation of Previously Identified Material Weakness</w:t>
      </w:r>
    </w:p>
    <w:p>
      <w:pPr>
        <w:pStyle w:val="TextBody"/>
        <w:bidi w:val="0"/>
        <w:spacing w:lineRule="auto" w:line="288" w:before="240" w:after="283"/>
        <w:jc w:val="both"/>
        <w:rPr/>
      </w:pPr>
      <w:r>
        <w:rPr>
          <w:rFonts w:ascii="Times New Roman;serif" w:hAnsi="Times New Roman;serif"/>
          <w:b w:val="false"/>
          <w:color w:val="000000"/>
          <w:sz w:val="20"/>
          <w:shd w:fill="FFFFFF" w:val="clear"/>
        </w:rPr>
        <w:t>As previously disclosed</w:t>
      </w:r>
      <w:r>
        <w:rPr>
          <w:rFonts w:ascii="Times New Roman;serif" w:hAnsi="Times New Roman;serif"/>
          <w:b w:val="false"/>
          <w:color w:val="000000"/>
          <w:sz w:val="20"/>
        </w:rPr>
        <w:t xml:space="preserve">, a material weakness in our internal control over financial reporting was identified which related to controls ensuring data received from third-party service organizations were complete and accurate.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with oversight from the Audit Committee of our Board of Directors,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remediate the above material weakness previously identified as follows: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Company requires each third-party service organization to provide us, at least annually, a SOC-1, Type 2 audit report, with adequate controls to ensure the data received are complete and accurate. Management relies upon a SOC-1, Type 2 audit report from the service organizations attesting to the vendor’s internal controls.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 SOC-1, Type 2 audit report is not available, the Company evaluates each third-party’s relevant system(s) and control environment reporting directly through inquiry and formalized substantive testing of such third-party’s control environment to ensure the data received are complete and accurate.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c.If the Company is unable to obtain a valid SOC-1, Type 2 audit report or perform substantive testing of such third-party’s control environment, the Company implements a third-party qualification and program triaging process, which could include modifying customer contracts, limiting the volume of activity with those third-parties, and establishing additional operational controls to ensure the completeness and accuracy of information received from those third-parties, such as performing tagging procedures where possible.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material weakness will be considered remediated when management concludes through testing, the applicable remediated controls are designed and implemented effectively.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fully implemented and operational, the Company believes the measures described above will remediate the identified material weakness and strengthen the internal controls over financial reporting. The material weakness will not be considered remediated until the newly implemented internal controls operate for a sufficient period of time and management has concluded, through testing, the internal controls are operating effectively. The Company is working to have the material weakness remediated as soon as possible.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continuing to improve the internal control processes and will continue to review and assess financial reporting controls and procedures on an ongoing basis. As the Company continues to evaluate and improve the internal controls over financial reporting, management may determine whether it is appropriate or necessary to take additional measures.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noted above, there was no change in our internal control over financial reporting (as defined in Rule 13a-15(f) under the Exchange Act), that occurred during the quarter ended September 30, 2025 that has materially affected, or is reasonably likely to materially affect, our internal control over financial reporting.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in our risk factors from the risks previously reported in PART 1, ITEM 1A, “Risk Factors” of our Annual Report on Form 10-K for the year ended December 31, 2024. You should carefully consider the factors discussed in PART I, ITEM 1A, “Risk Factors” in our Annual Report on Form 10-K for the year ended December 31, 2024,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third quarter of 2025, none of our directors or executive officers adopted or terminated any “Rule 10b5-1 trading arrangement” or “non-Rule 10b5-1 trading arrangement” (as each term is defined in Item 408(a) of Registration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431"/>
        <w:gridCol w:w="378"/>
        <w:gridCol w:w="380"/>
        <w:gridCol w:w="109"/>
        <w:gridCol w:w="109"/>
        <w:gridCol w:w="109"/>
        <w:gridCol w:w="2612"/>
        <w:gridCol w:w="2518"/>
        <w:gridCol w:w="3559"/>
      </w:tblGrid>
      <w:tr>
        <w:trPr/>
        <w:tc>
          <w:tcPr>
            <w:tcW w:w="4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50930xex311.htm">
              <w:r>
                <w:rPr>
                  <w:rStyle w:val="InternetLink"/>
                  <w:rFonts w:ascii="Times New Roman;serif" w:hAnsi="Times New Roman;serif"/>
                  <w:b w:val="false"/>
                  <w:color w:val="0000EE"/>
                  <w:sz w:val="20"/>
                  <w:u w:val="single"/>
                </w:rPr>
                <w:t>Certification of Chief Executive Officer pursuant to 18 U.S.C. Section 1350, as adopted pursuant to Section 302 of the Sarbanes-Oxley Act of 2002</w:t>
              </w:r>
            </w:hyperlink>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oprx-20250930xex312.htm">
              <w:r>
                <w:rPr>
                  <w:rStyle w:val="InternetLink"/>
                  <w:rFonts w:ascii="Times New Roman;serif" w:hAnsi="Times New Roman;serif"/>
                  <w:b w:val="false"/>
                  <w:color w:val="0000EE"/>
                  <w:sz w:val="20"/>
                  <w:u w:val="single"/>
                </w:rPr>
                <w:t>Certification of Chief Financial Officer pursuant to 18 U.S.C. Section 1350, as adopted pursuant to Section 302 of the Sarbanes-Oxley Act of 2002</w:t>
              </w:r>
            </w:hyperlink>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50930xex321.htm">
              <w:r>
                <w:rPr>
                  <w:rStyle w:val="InternetLink"/>
                  <w:rFonts w:ascii="Times New Roman;serif" w:hAnsi="Times New Roman;serif"/>
                  <w:b w:val="false"/>
                  <w:color w:val="0000EE"/>
                  <w:sz w:val="20"/>
                  <w:u w:val="single"/>
                </w:rPr>
                <w:t>Certification of Chief Executive Officer and Chief Financial Officer pursuant to 18 U.S.C. Section 1350, as adopted pursuant to Section 906 of the Sarbanes-Oxley Act of 2002</w:t>
              </w:r>
            </w:hyperlink>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ca422d2266e1468cb0a1fa058af438b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666" w:type="dxa"/>
        <w:jc w:val="left"/>
        <w:tblInd w:w="0" w:type="dxa"/>
        <w:tblLayout w:type="fixed"/>
        <w:tblCellMar>
          <w:top w:w="28" w:type="dxa"/>
          <w:left w:w="28" w:type="dxa"/>
          <w:bottom w:w="28" w:type="dxa"/>
          <w:right w:w="28" w:type="dxa"/>
        </w:tblCellMar>
      </w:tblPr>
      <w:tblGrid>
        <w:gridCol w:w="759"/>
        <w:gridCol w:w="668"/>
        <w:gridCol w:w="672"/>
        <w:gridCol w:w="354"/>
        <w:gridCol w:w="354"/>
        <w:gridCol w:w="354"/>
        <w:gridCol w:w="729"/>
        <w:gridCol w:w="729"/>
        <w:gridCol w:w="104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Chief Financial Officer and </w:t>
              <w:br/>
              <w:t>Chief Strategic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00" w:after="283"/>
        <w:ind w:left="0" w:right="0" w:hanging="18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Stephen Silvestro,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2025 of OptimizeRx Corp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bl>
      <w:tblPr>
        <w:tblW w:w="2907" w:type="dxa"/>
        <w:jc w:val="left"/>
        <w:tblInd w:w="0" w:type="dxa"/>
        <w:tblLayout w:type="fixed"/>
        <w:tblCellMar>
          <w:top w:w="28" w:type="dxa"/>
          <w:left w:w="28" w:type="dxa"/>
          <w:bottom w:w="28" w:type="dxa"/>
          <w:right w:w="28" w:type="dxa"/>
        </w:tblCellMar>
      </w:tblPr>
      <w:tblGrid>
        <w:gridCol w:w="916"/>
        <w:gridCol w:w="808"/>
        <w:gridCol w:w="811"/>
        <w:gridCol w:w="109"/>
        <w:gridCol w:w="109"/>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Stephen Silvestro</w:t>
              <w:b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00" w:after="283"/>
        <w:ind w:left="0" w:right="0" w:hanging="18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Edward Stelmakh,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2025 of OptimizeRx Corp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bl>
      <w:tblPr>
        <w:tblW w:w="3236" w:type="dxa"/>
        <w:jc w:val="left"/>
        <w:tblInd w:w="0" w:type="dxa"/>
        <w:tblLayout w:type="fixed"/>
        <w:tblCellMar>
          <w:top w:w="28" w:type="dxa"/>
          <w:left w:w="28" w:type="dxa"/>
          <w:bottom w:w="28" w:type="dxa"/>
          <w:right w:w="28" w:type="dxa"/>
        </w:tblCellMar>
      </w:tblPr>
      <w:tblGrid>
        <w:gridCol w:w="1038"/>
        <w:gridCol w:w="911"/>
        <w:gridCol w:w="915"/>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Edward Stelmakh</w:t>
              <w:br/>
              <w:t xml:space="preserve">Title: Chief Financial Officer and </w:t>
              <w:br/>
              <w:t>Chief Strategic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OptimizeRx Corp (the “Company”) on Form 10-Q for the quarter ended September 30, 2025 filed with the Securities and Exchange Commission (the “Report”), I, Stephen Silvestro, Chief Executive Officer and I, Edward Stelmakh, Chief Financial Officer and Chief Strategic Officer of the Company, certify, pursuant to 18 U.S.C. Section 1350, as adopted pursuant to Section 906 of the Sarbanes-Oxley Act of 2002, that: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of the Securities Exchange Act of 1934;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consolidated financial condition of the Company as of the dates presented and the consolidated result of operations of the Company for the periods presented.</w:t>
      </w:r>
    </w:p>
    <w:tbl>
      <w:tblPr>
        <w:tblW w:w="3371" w:type="dxa"/>
        <w:jc w:val="left"/>
        <w:tblInd w:w="0" w:type="dxa"/>
        <w:tblLayout w:type="fixed"/>
        <w:tblCellMar>
          <w:top w:w="28" w:type="dxa"/>
          <w:left w:w="28" w:type="dxa"/>
          <w:bottom w:w="28" w:type="dxa"/>
          <w:right w:w="28" w:type="dxa"/>
        </w:tblCellMar>
      </w:tblPr>
      <w:tblGrid>
        <w:gridCol w:w="232"/>
        <w:gridCol w:w="205"/>
        <w:gridCol w:w="208"/>
        <w:gridCol w:w="784"/>
        <w:gridCol w:w="784"/>
        <w:gridCol w:w="786"/>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Stelmakh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w:t>
              <w:br/>
              <w:t>Chief Strategic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has been furnished solely pursuant to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16347</Words>
  <Characters>91015</Characters>
  <CharactersWithSpaces>106513</CharactersWithSpaces>
  <Paragraphs>1738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