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30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7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5278755</wp:posOffset>
            </wp:positionH>
            <wp:positionV relativeFrom="paragraph">
              <wp:posOffset>-626745</wp:posOffset>
            </wp:positionV>
            <wp:extent cx="58420" cy="640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-1623060</wp:posOffset>
            </wp:positionH>
            <wp:positionV relativeFrom="paragraph">
              <wp:posOffset>23495</wp:posOffset>
            </wp:positionV>
            <wp:extent cx="6993255" cy="52476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255" cy="524764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60" w:space="280"/>
            <w:col w:w="8540"/>
          </w:cols>
          <w:pgMar w:left="460" w:top="217"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WASSON GREGORY D</w:t>
        </w:r>
      </w:hyperlink>
    </w:p>
    <w:p>
      <w:pPr>
        <w:spacing w:after="0" w:line="291"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(Last)</w:t>
            </w:r>
          </w:p>
        </w:tc>
        <w:tc>
          <w:tcPr>
            <w:tcW w:w="1000" w:type="dxa"/>
            <w:vAlign w:val="bottom"/>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tcPr>
          <w:p>
            <w:pPr>
              <w:ind w:left="42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36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C/O OPTIMIZERX CORPORATION</w:t>
            </w:r>
          </w:p>
        </w:tc>
      </w:tr>
      <w:tr>
        <w:trPr>
          <w:trHeight w:val="258"/>
        </w:trPr>
        <w:tc>
          <w:tcPr>
            <w:tcW w:w="20" w:type="dxa"/>
            <w:vAlign w:val="bottom"/>
          </w:tcPr>
          <w:p>
            <w:pPr>
              <w:spacing w:after="0"/>
              <w:rPr>
                <w:sz w:val="22"/>
                <w:szCs w:val="22"/>
                <w:color w:val="auto"/>
              </w:rPr>
            </w:pPr>
          </w:p>
        </w:tc>
        <w:tc>
          <w:tcPr>
            <w:tcW w:w="36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260 CHARLES STREET, SUITE 302</w:t>
            </w:r>
          </w:p>
        </w:tc>
      </w:tr>
      <w:tr>
        <w:trPr>
          <w:trHeight w:val="149"/>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59"/>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WALTHAM</w:t>
            </w:r>
          </w:p>
        </w:tc>
        <w:tc>
          <w:tcPr>
            <w:tcW w:w="10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02453</w:t>
            </w:r>
          </w:p>
        </w:tc>
      </w:tr>
      <w:tr>
        <w:trPr>
          <w:trHeight w:val="149"/>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3820" w:type="dxa"/>
            <w:vAlign w:val="bottom"/>
            <w:gridSpan w:val="4"/>
          </w:tcPr>
          <w:p>
            <w:pPr>
              <w:ind w:left="60"/>
              <w:spacing w:after="0" w:line="141" w:lineRule="exact"/>
              <w:rPr>
                <w:rFonts w:ascii="Times New Roman" w:cs="Times New Roman" w:eastAsia="Times New Roman" w:hAnsi="Times New Roman"/>
                <w:sz w:val="15"/>
                <w:szCs w:val="15"/>
                <w:color w:val="0000EE"/>
              </w:rPr>
            </w:pPr>
            <w:hyperlink r:id="rId13">
              <w:r>
                <w:rPr>
                  <w:rFonts w:ascii="Times New Roman" w:cs="Times New Roman" w:eastAsia="Times New Roman" w:hAnsi="Times New Roman"/>
                  <w:sz w:val="15"/>
                  <w:szCs w:val="15"/>
                  <w:color w:val="0000EE"/>
                </w:rPr>
                <w:t xml:space="preserve">OptimizeRx Corp </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2"/>
                <w:szCs w:val="12"/>
                <w:color w:val="0000FF"/>
              </w:rPr>
              <w:t>OPRX</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60" w:type="dxa"/>
            <w:vAlign w:val="bottom"/>
          </w:tcPr>
          <w:p>
            <w:pPr>
              <w:spacing w:after="0"/>
              <w:rPr>
                <w:sz w:val="3"/>
                <w:szCs w:val="3"/>
                <w:color w:val="auto"/>
              </w:rPr>
            </w:pPr>
          </w:p>
        </w:tc>
        <w:tc>
          <w:tcPr>
            <w:tcW w:w="228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360" w:type="dxa"/>
            <w:vAlign w:val="bottom"/>
            <w:tcBorders>
              <w:bottom w:val="single" w:sz="8" w:color="0000EE"/>
            </w:tcBorders>
          </w:tcPr>
          <w:p>
            <w:pPr>
              <w:spacing w:after="0"/>
              <w:rPr>
                <w:sz w:val="3"/>
                <w:szCs w:val="3"/>
                <w:color w:val="auto"/>
              </w:rPr>
            </w:pPr>
          </w:p>
        </w:tc>
        <w:tc>
          <w:tcPr>
            <w:tcW w:w="2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420"/>
              <w:spacing w:after="0" w:line="147" w:lineRule="exact"/>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line="147"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5"/>
        </w:trPr>
        <w:tc>
          <w:tcPr>
            <w:tcW w:w="6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360" w:type="dxa"/>
            <w:vAlign w:val="bottom"/>
            <w:tcBorders>
              <w:bottom w:val="single" w:sz="8" w:color="2C2C2C"/>
            </w:tcBorders>
          </w:tcPr>
          <w:p>
            <w:pPr>
              <w:spacing w:after="0"/>
              <w:rPr>
                <w:sz w:val="9"/>
                <w:szCs w:val="9"/>
                <w:color w:val="auto"/>
              </w:rPr>
            </w:pPr>
          </w:p>
        </w:tc>
        <w:tc>
          <w:tcPr>
            <w:tcW w:w="2280" w:type="dxa"/>
            <w:vAlign w:val="bottom"/>
            <w:tcBorders>
              <w:bottom w:val="single" w:sz="8" w:color="2C2C2C"/>
            </w:tcBorders>
          </w:tcPr>
          <w:p>
            <w:pPr>
              <w:spacing w:after="0"/>
              <w:rPr>
                <w:sz w:val="9"/>
                <w:szCs w:val="9"/>
                <w:color w:val="auto"/>
              </w:rPr>
            </w:pPr>
          </w:p>
        </w:tc>
        <w:tc>
          <w:tcPr>
            <w:tcW w:w="180" w:type="dxa"/>
            <w:vAlign w:val="bottom"/>
          </w:tcPr>
          <w:p>
            <w:pPr>
              <w:spacing w:after="0"/>
              <w:rPr>
                <w:sz w:val="9"/>
                <w:szCs w:val="9"/>
                <w:color w:val="auto"/>
              </w:rPr>
            </w:pPr>
          </w:p>
        </w:tc>
        <w:tc>
          <w:tcPr>
            <w:tcW w:w="166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4"/>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6"/>
                <w:szCs w:val="16"/>
                <w:color w:val="auto"/>
              </w:rPr>
            </w:pPr>
          </w:p>
        </w:tc>
        <w:tc>
          <w:tcPr>
            <w:tcW w:w="1660" w:type="dxa"/>
            <w:vAlign w:val="bottom"/>
          </w:tcPr>
          <w:p>
            <w:pPr>
              <w:ind w:left="42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8"/>
        </w:trPr>
        <w:tc>
          <w:tcPr>
            <w:tcW w:w="15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06/05/2024</w:t>
            </w:r>
          </w:p>
        </w:tc>
        <w:tc>
          <w:tcPr>
            <w:tcW w:w="2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ind w:left="420"/>
              <w:spacing w:after="0"/>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8"/>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2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5"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2" w:lineRule="exact"/>
        <w:rPr>
          <w:sz w:val="24"/>
          <w:szCs w:val="24"/>
          <w:color w:val="auto"/>
        </w:rPr>
      </w:pPr>
    </w:p>
    <w:p>
      <w:pPr>
        <w:ind w:left="320" w:right="640"/>
        <w:spacing w:after="0" w:line="24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40" w:space="10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78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8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2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5"/>
          </w:tcPr>
          <w:p>
            <w:pPr>
              <w:ind w:left="40"/>
              <w:spacing w:after="0" w:line="128" w:lineRule="exact"/>
              <w:rPr>
                <w:sz w:val="20"/>
                <w:szCs w:val="20"/>
                <w:color w:val="auto"/>
              </w:rPr>
            </w:pPr>
            <w:r>
              <w:rPr>
                <w:rFonts w:ascii="Arial" w:cs="Arial" w:eastAsia="Arial" w:hAnsi="Arial"/>
                <w:sz w:val="12"/>
                <w:szCs w:val="12"/>
                <w:b w:val="1"/>
                <w:bCs w:val="1"/>
                <w:color w:val="auto"/>
                <w:w w:val="98"/>
              </w:rPr>
              <w:t>Disposed Of (D) (Instr. 3, 4 and</w:t>
            </w:r>
          </w:p>
        </w:tc>
        <w:tc>
          <w:tcPr>
            <w:tcW w:w="12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9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1"/>
                <w:szCs w:val="11"/>
                <w:color w:val="auto"/>
              </w:rPr>
            </w:pPr>
          </w:p>
        </w:tc>
        <w:tc>
          <w:tcPr>
            <w:tcW w:w="540" w:type="dxa"/>
            <w:vAlign w:val="bottom"/>
          </w:tcPr>
          <w:p>
            <w:pPr>
              <w:ind w:left="200"/>
              <w:spacing w:after="0" w:line="129" w:lineRule="exact"/>
              <w:rPr>
                <w:sz w:val="20"/>
                <w:szCs w:val="20"/>
                <w:color w:val="auto"/>
              </w:rPr>
            </w:pPr>
            <w:r>
              <w:rPr>
                <w:rFonts w:ascii="Arial" w:cs="Arial" w:eastAsia="Arial" w:hAnsi="Arial"/>
                <w:sz w:val="12"/>
                <w:szCs w:val="12"/>
                <w:b w:val="1"/>
                <w:bCs w:val="1"/>
                <w:color w:val="auto"/>
                <w:w w:val="99"/>
              </w:rPr>
              <w:t>(A) or</w:t>
            </w:r>
          </w:p>
        </w:tc>
        <w:tc>
          <w:tcPr>
            <w:tcW w:w="56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880"/>
              <w:spacing w:after="0"/>
              <w:rPr>
                <w:sz w:val="20"/>
                <w:szCs w:val="20"/>
                <w:color w:val="auto"/>
              </w:rPr>
            </w:pPr>
            <w:r>
              <w:rPr>
                <w:rFonts w:ascii="Times New Roman" w:cs="Times New Roman" w:eastAsia="Times New Roman" w:hAnsi="Times New Roman"/>
                <w:sz w:val="17"/>
                <w:szCs w:val="17"/>
                <w:color w:val="0000FF"/>
              </w:rPr>
              <w:t>06/05/2024</w:t>
            </w:r>
          </w:p>
        </w:tc>
        <w:tc>
          <w:tcPr>
            <w:tcW w:w="9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gridSpan w:val="2"/>
          </w:tcPr>
          <w:p>
            <w:pPr>
              <w:jc w:val="right"/>
              <w:ind w:right="1"/>
              <w:spacing w:after="0"/>
              <w:rPr>
                <w:sz w:val="20"/>
                <w:szCs w:val="20"/>
                <w:color w:val="auto"/>
              </w:rPr>
            </w:pPr>
            <w:r>
              <w:rPr>
                <w:rFonts w:ascii="Times New Roman" w:cs="Times New Roman" w:eastAsia="Times New Roman" w:hAnsi="Times New Roman"/>
                <w:sz w:val="17"/>
                <w:szCs w:val="17"/>
                <w:color w:val="0000FF"/>
              </w:rPr>
              <w:t>10,061</w:t>
            </w:r>
          </w:p>
        </w:tc>
        <w:tc>
          <w:tcPr>
            <w:tcW w:w="5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2"/>
          </w:tcPr>
          <w:p>
            <w:pPr>
              <w:ind w:left="220"/>
              <w:spacing w:after="0" w:line="310" w:lineRule="exact"/>
              <w:rPr>
                <w:sz w:val="20"/>
                <w:szCs w:val="20"/>
                <w:color w:val="auto"/>
              </w:rPr>
            </w:pPr>
            <w:r>
              <w:rPr>
                <w:rFonts w:ascii="Arial" w:cs="Arial" w:eastAsia="Arial" w:hAnsi="Arial"/>
                <w:sz w:val="33"/>
                <w:szCs w:val="33"/>
                <w:color w:val="000000"/>
                <w:w w:val="88"/>
                <w:vertAlign w:val="subscript"/>
              </w:rPr>
              <w:t>$</w:t>
            </w:r>
            <w:r>
              <w:rPr>
                <w:rFonts w:ascii="Times New Roman" w:cs="Times New Roman" w:eastAsia="Times New Roman" w:hAnsi="Times New Roman"/>
                <w:sz w:val="33"/>
                <w:szCs w:val="33"/>
                <w:color w:val="0000FF"/>
                <w:w w:val="88"/>
                <w:vertAlign w:val="subscript"/>
              </w:rPr>
              <w:t>0</w:t>
            </w:r>
            <w:r>
              <w:rPr>
                <w:rFonts w:ascii="Times New Roman" w:cs="Times New Roman" w:eastAsia="Times New Roman" w:hAnsi="Times New Roman"/>
                <w:sz w:val="11"/>
                <w:szCs w:val="11"/>
                <w:color w:val="008000"/>
                <w:w w:val="88"/>
              </w:rPr>
              <w:t>(1)</w:t>
            </w:r>
          </w:p>
        </w:tc>
        <w:tc>
          <w:tcPr>
            <w:tcW w:w="132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34,029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880"/>
              <w:spacing w:after="0"/>
              <w:rPr>
                <w:sz w:val="20"/>
                <w:szCs w:val="20"/>
                <w:color w:val="auto"/>
              </w:rPr>
            </w:pPr>
            <w:r>
              <w:rPr>
                <w:rFonts w:ascii="Times New Roman" w:cs="Times New Roman" w:eastAsia="Times New Roman" w:hAnsi="Times New Roman"/>
                <w:sz w:val="17"/>
                <w:szCs w:val="17"/>
                <w:color w:val="0000FF"/>
              </w:rPr>
              <w:t>06/07/2024</w:t>
            </w:r>
          </w:p>
        </w:tc>
        <w:tc>
          <w:tcPr>
            <w:tcW w:w="9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13,286</w:t>
            </w:r>
            <w:r>
              <w:rPr>
                <w:rFonts w:ascii="Times New Roman" w:cs="Times New Roman" w:eastAsia="Times New Roman" w:hAnsi="Times New Roman"/>
                <w:sz w:val="21"/>
                <w:szCs w:val="21"/>
                <w:color w:val="008000"/>
                <w:vertAlign w:val="superscript"/>
              </w:rPr>
              <w:t>(2)</w:t>
            </w:r>
          </w:p>
        </w:tc>
        <w:tc>
          <w:tcPr>
            <w:tcW w:w="5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47,315</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80" w:type="dxa"/>
            <w:vAlign w:val="bottom"/>
            <w:gridSpan w:val="11"/>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0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4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4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4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160" w:type="dxa"/>
            <w:vAlign w:val="bottom"/>
          </w:tcPr>
          <w:p>
            <w:pPr>
              <w:spacing w:after="0"/>
              <w:rPr>
                <w:sz w:val="15"/>
                <w:szCs w:val="15"/>
                <w:color w:val="auto"/>
              </w:rPr>
            </w:pPr>
          </w:p>
        </w:tc>
        <w:tc>
          <w:tcPr>
            <w:tcW w:w="54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w w:val="94"/>
              </w:rPr>
              <w:t>10,061</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40" w:type="dxa"/>
            <w:vAlign w:val="bottom"/>
          </w:tcPr>
          <w:p>
            <w:pPr>
              <w:jc w:val="right"/>
              <w:ind w:right="140"/>
              <w:spacing w:after="0" w:line="129" w:lineRule="exact"/>
              <w:rPr>
                <w:sz w:val="20"/>
                <w:szCs w:val="20"/>
                <w:color w:val="auto"/>
              </w:rPr>
            </w:pPr>
            <w:r>
              <w:rPr>
                <w:rFonts w:ascii="Times New Roman" w:cs="Times New Roman" w:eastAsia="Times New Roman" w:hAnsi="Times New Roman"/>
                <w:sz w:val="13"/>
                <w:szCs w:val="13"/>
                <w:color w:val="0000FF"/>
              </w:rPr>
              <w:t>06/05/2024</w:t>
            </w:r>
          </w:p>
        </w:tc>
        <w:tc>
          <w:tcPr>
            <w:tcW w:w="1140" w:type="dxa"/>
            <w:vAlign w:val="bottom"/>
          </w:tcPr>
          <w:p>
            <w:pPr>
              <w:spacing w:after="0"/>
              <w:rPr>
                <w:sz w:val="11"/>
                <w:szCs w:val="11"/>
                <w:color w:val="auto"/>
              </w:rPr>
            </w:pPr>
          </w:p>
        </w:tc>
        <w:tc>
          <w:tcPr>
            <w:tcW w:w="72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M</w:t>
            </w:r>
          </w:p>
        </w:tc>
        <w:tc>
          <w:tcPr>
            <w:tcW w:w="920" w:type="dxa"/>
            <w:vAlign w:val="bottom"/>
          </w:tcPr>
          <w:p>
            <w:pPr>
              <w:ind w:left="460"/>
              <w:spacing w:after="0" w:line="129" w:lineRule="exact"/>
              <w:rPr>
                <w:sz w:val="20"/>
                <w:szCs w:val="20"/>
                <w:color w:val="auto"/>
              </w:rPr>
            </w:pPr>
            <w:r>
              <w:rPr>
                <w:rFonts w:ascii="Times New Roman" w:cs="Times New Roman" w:eastAsia="Times New Roman" w:hAnsi="Times New Roman"/>
                <w:sz w:val="13"/>
                <w:szCs w:val="13"/>
                <w:color w:val="0000FF"/>
              </w:rPr>
              <w:t>10,061</w:t>
            </w:r>
          </w:p>
        </w:tc>
        <w:tc>
          <w:tcPr>
            <w:tcW w:w="7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6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380"/>
              <w:spacing w:after="0" w:line="129"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ind w:left="2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-2012315</wp:posOffset>
            </wp:positionV>
            <wp:extent cx="29210" cy="20173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01739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convert into common stock on a one-for-one basis.</w:t>
      </w:r>
    </w:p>
    <w:p>
      <w:pPr>
        <w:spacing w:after="0" w:line="44" w:lineRule="exact"/>
        <w:rPr>
          <w:rFonts w:ascii="Times New Roman" w:cs="Times New Roman" w:eastAsia="Times New Roman" w:hAnsi="Times New Roman"/>
          <w:sz w:val="13"/>
          <w:szCs w:val="13"/>
          <w:color w:val="008000"/>
        </w:rPr>
      </w:pPr>
    </w:p>
    <w:p>
      <w:pPr>
        <w:ind w:left="40" w:right="160" w:firstLine="2"/>
        <w:spacing w:after="0" w:line="25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 of restricted stock units representing a contingent right to receive shares of OptimizeRx common stock. The restricted stock units will vest in full on the earlier of the first anniversary of the date of grant or the date of the Company's next annual meeting of shareholders.</w:t>
      </w:r>
    </w:p>
    <w:p>
      <w:pPr>
        <w:spacing w:after="0" w:line="1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7, 2023 the reporting person was granted 10,061 restricted stock units which vested in full on June 5, 2024.</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0" w:lineRule="exact"/>
        <w:rPr>
          <w:sz w:val="24"/>
          <w:szCs w:val="24"/>
          <w:color w:val="auto"/>
        </w:rPr>
      </w:pPr>
    </w:p>
    <w:p>
      <w:pPr>
        <w:ind w:left="40" w:right="320"/>
        <w:spacing w:after="0" w:line="256" w:lineRule="auto"/>
        <w:rPr>
          <w:sz w:val="20"/>
          <w:szCs w:val="20"/>
          <w:color w:val="auto"/>
        </w:rPr>
      </w:pPr>
      <w:r>
        <w:rPr>
          <w:rFonts w:ascii="Times New Roman" w:cs="Times New Roman" w:eastAsia="Times New Roman" w:hAnsi="Times New Roman"/>
          <w:sz w:val="13"/>
          <w:szCs w:val="13"/>
          <w:color w:val="008000"/>
        </w:rPr>
        <w:t>The filing of this Statement shall not be construed as an admission (a) that the person filing this Statement is, for the purposes of Section 16 of the Securities Exchange Act of 1934, as amended, the beneficial owner of any equity securities covered by this Statement, or (b) that this Statement is legally required to be filed by such person.</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Marion Odence-Ford, by</w:t>
            </w:r>
          </w:p>
        </w:tc>
        <w:tc>
          <w:tcPr>
            <w:tcW w:w="32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06/11/2024</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7" w:lineRule="exact"/>
              <w:rPr>
                <w:sz w:val="20"/>
                <w:szCs w:val="20"/>
                <w:color w:val="auto"/>
              </w:rPr>
            </w:pPr>
            <w:r>
              <w:rPr>
                <w:rFonts w:ascii="Times New Roman" w:cs="Times New Roman" w:eastAsia="Times New Roman" w:hAnsi="Times New Roman"/>
                <w:sz w:val="17"/>
                <w:szCs w:val="17"/>
                <w:color w:val="0000FF"/>
              </w:rPr>
              <w:t>Power of Attorney</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40" w:type="dxa"/>
            <w:vAlign w:val="bottom"/>
            <w:shd w:val="clear" w:color="auto" w:fill="000000"/>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188827" TargetMode="External"/><Relationship Id="rId13" Type="http://schemas.openxmlformats.org/officeDocument/2006/relationships/hyperlink" Target="http://www.sec.gov/cgi-bin/browse-edgar?action=getcompany&amp;CIK=00014484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2024-06-11T16:50:31Z</dcterms:created>
  <dcterms:modified xsi:type="dcterms:W3CDTF">2024-06-11T16:50:31Z</dcterms:modified>
</cp:coreProperties>
</file>