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5, 2020</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00" w:type="dxa"/>
            <w:vAlign w:val="bottom"/>
            <w:gridSpan w:val="3"/>
          </w:tcPr>
          <w:p>
            <w:pPr>
              <w:ind w:left="1580"/>
              <w:spacing w:after="0"/>
              <w:rPr>
                <w:sz w:val="20"/>
                <w:szCs w:val="20"/>
                <w:color w:val="auto"/>
              </w:rPr>
            </w:pPr>
            <w:r>
              <w:rPr>
                <w:rFonts w:ascii="Arial" w:cs="Arial" w:eastAsia="Arial" w:hAnsi="Arial"/>
                <w:sz w:val="18"/>
                <w:szCs w:val="18"/>
                <w:color w:val="auto"/>
              </w:rPr>
              <w:t>Nevada</w:t>
            </w:r>
          </w:p>
        </w:tc>
        <w:tc>
          <w:tcPr>
            <w:tcW w:w="294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89"/>
              </w:rPr>
              <w:t>26-1265381</w:t>
            </w:r>
          </w:p>
        </w:tc>
      </w:tr>
      <w:tr>
        <w:trPr>
          <w:trHeight w:val="202"/>
        </w:trPr>
        <w:tc>
          <w:tcPr>
            <w:tcW w:w="3720" w:type="dxa"/>
            <w:vAlign w:val="bottom"/>
            <w:tcBorders>
              <w:top w:val="single" w:sz="8" w:color="auto"/>
            </w:tcBorders>
          </w:tcPr>
          <w:p>
            <w:pPr>
              <w:ind w:left="900"/>
              <w:spacing w:after="0" w:line="201" w:lineRule="exact"/>
              <w:rPr>
                <w:sz w:val="20"/>
                <w:szCs w:val="20"/>
                <w:color w:val="auto"/>
              </w:rPr>
            </w:pPr>
            <w:r>
              <w:rPr>
                <w:rFonts w:ascii="Arial" w:cs="Arial" w:eastAsia="Arial" w:hAnsi="Arial"/>
                <w:sz w:val="18"/>
                <w:szCs w:val="18"/>
                <w:color w:val="auto"/>
              </w:rPr>
              <w:t>(State or other jurisdiction</w:t>
            </w: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3"/>
          </w:tcPr>
          <w:p>
            <w:pPr>
              <w:jc w:val="center"/>
              <w:ind w:right="660"/>
              <w:spacing w:after="0" w:line="201"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00" w:type="dxa"/>
            <w:vAlign w:val="bottom"/>
            <w:gridSpan w:val="3"/>
          </w:tcPr>
          <w:p>
            <w:pPr>
              <w:ind w:left="1260"/>
              <w:spacing w:after="0"/>
              <w:rPr>
                <w:sz w:val="20"/>
                <w:szCs w:val="20"/>
                <w:color w:val="auto"/>
              </w:rPr>
            </w:pPr>
            <w:r>
              <w:rPr>
                <w:rFonts w:ascii="Arial" w:cs="Arial" w:eastAsia="Arial" w:hAnsi="Arial"/>
                <w:sz w:val="18"/>
                <w:szCs w:val="18"/>
                <w:color w:val="auto"/>
              </w:rPr>
              <w:t>of 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0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color w:val="auto"/>
                <w:w w:val="93"/>
              </w:rPr>
              <w:t>400 Water Street, Suite 200, Rochester, MI</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color w:val="auto"/>
              </w:rPr>
              <w:t>48307</w:t>
            </w:r>
          </w:p>
        </w:tc>
      </w:tr>
      <w:tr>
        <w:trPr>
          <w:trHeight w:val="230"/>
        </w:trPr>
        <w:tc>
          <w:tcPr>
            <w:tcW w:w="4500" w:type="dxa"/>
            <w:vAlign w:val="bottom"/>
            <w:gridSpan w:val="3"/>
          </w:tcPr>
          <w:p>
            <w:pPr>
              <w:ind w:left="1380"/>
              <w:spacing w:after="0"/>
              <w:rPr>
                <w:sz w:val="20"/>
                <w:szCs w:val="20"/>
                <w:color w:val="auto"/>
              </w:rPr>
            </w:pPr>
            <w:r>
              <w:rPr>
                <w:rFonts w:ascii="Arial" w:cs="Arial" w:eastAsia="Arial" w:hAnsi="Arial"/>
                <w:sz w:val="18"/>
                <w:szCs w:val="18"/>
                <w:color w:val="auto"/>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ind w:right="16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43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358"/>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March 5, 2020, we issued a press release announcing our invitation to present at the 32nd Annual ROTH Conference being held at The Ritz Carlton, Laguna Niguel in Orange County, California, on March 15-17, 2020.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5, 2020</w:t>
        </w:r>
      </w:hyperlink>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2020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148590</wp:posOffset>
            </wp:positionV>
            <wp:extent cx="1894205"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42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OptimizeRx to Participate in Fireside Chat and One-on-One Meetings at</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the 32nd Annual ROTH Conference on March 15-17, 2020</w:t>
      </w:r>
    </w:p>
    <w:p>
      <w:pPr>
        <w:spacing w:after="0" w:line="20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ROCHESTER, Mich. – March 5, 2020 </w:t>
      </w:r>
      <w:r>
        <w:rPr>
          <w:rFonts w:ascii="Arial" w:cs="Arial" w:eastAsia="Arial" w:hAnsi="Arial"/>
          <w:sz w:val="18"/>
          <w:szCs w:val="18"/>
          <w:color w:val="auto"/>
        </w:rPr>
        <w:t>– 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payers, has been invited to present at the 32nd Annual ROTH Conference being held at The Ritz Carlton, Laguna Niguel in Orange County, California, on March 15-17, 2020.</w:t>
      </w:r>
    </w:p>
    <w:p>
      <w:pPr>
        <w:spacing w:after="0" w:line="18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conference will feature presentations from public and private companies across a variety of industry sectors. Last year, the ROTH Conference hosted close to 550 participating companies and more than 5,100 attendees, including institutional investors, analysts, family offices and high net worth investors.</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OptimizeRx CEO, Will Febbo, is scheduled to present in one-on-one meetings with institutional analysts and investors held at the conference. He is also scheduled to participate in a fireside chat at 8:00 a.m. Pacific time on Tuesday, March 17. The fireside chat will be hosted by ROTH managing director and senior analyst, Richard K. Baldry, CFA.</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Febbo will discuss a number of topics, including the company’s newly integrated digital heath platform that allows OptimizeRx to expand within existing clients and address the needs of larger enterprises. This has been reflected in an increased pipeline deal size from $130,000 in 2018 to more than $300,000 coming into 2020, and which involves an increasing portion of recurring SaaS revenue. He will also discuss how the company’s newly expanded commercial team is expected to drive another year of record growth and market expansion.</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ROTH will host a pre-recorded webcast of the company’s presentation, which will be available on the conference website here and in the investor section of the company’s website under “Event Calendar,” before the start of the conference.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schedule a one-on-one meeting with OptimizeRx, please contact your ROTH representative. For any questions about the company, contact Ron Both of CMA at (949) 432-7557 or submit your request 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Roth Capital Partners</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ROTH Capital Partners, LLC (ROTH), is a relationship-driven investment bank focused on serving emerging growth companies and their investors. As a full-service investment bank, ROTH provides capital raising, M&amp;A advisory, analytical research, trading, market-making services and corporate access. Headquartered in Newport Beach, CA, ROTH is privately-held and employee owned, and maintains offices throughout the U.S. For more information on ROTH, please visit </w:t>
      </w:r>
      <w:r>
        <w:rPr>
          <w:rFonts w:ascii="Arial" w:cs="Arial" w:eastAsia="Arial" w:hAnsi="Arial"/>
          <w:sz w:val="18"/>
          <w:szCs w:val="18"/>
          <w:u w:val="single" w:color="auto"/>
          <w:color w:val="auto"/>
        </w:rPr>
        <w:t>www.roth.com</w:t>
      </w:r>
      <w:r>
        <w:rPr>
          <w:rFonts w:ascii="Arial" w:cs="Arial" w:eastAsia="Arial" w:hAnsi="Arial"/>
          <w:sz w:val="18"/>
          <w:szCs w:val="18"/>
          <w:color w:val="auto"/>
        </w:rPr>
        <w:t>.</w:t>
      </w:r>
    </w:p>
    <w:p>
      <w:pPr>
        <w:spacing w:after="0" w:line="29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19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 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2020-03-06T13:59:27Z</dcterms:created>
  <dcterms:modified xsi:type="dcterms:W3CDTF">2020-03-06T13:59:27Z</dcterms:modified>
</cp:coreProperties>
</file>