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980" w:right="2320" w:hanging="1652"/>
        <w:spacing w:after="0" w:line="481" w:lineRule="auto"/>
        <w:tabs>
          <w:tab w:leader="none" w:pos="25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2020</w:t>
      </w:r>
    </w:p>
    <w:p>
      <w:pPr>
        <w:spacing w:after="0" w:line="34" w:lineRule="exact"/>
        <w:rPr>
          <w:rFonts w:ascii="MS PGothic" w:cs="MS PGothic" w:eastAsia="MS PGothic" w:hAnsi="MS PGothic"/>
          <w:sz w:val="18"/>
          <w:szCs w:val="18"/>
          <w:color w:val="auto"/>
        </w:rPr>
      </w:pPr>
    </w:p>
    <w:p>
      <w:pPr>
        <w:ind w:left="2800" w:hanging="202"/>
        <w:spacing w:after="0"/>
        <w:tabs>
          <w:tab w:leader="none" w:pos="28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13 or 15(d) of the Securities Exchange Act of 1934</w:t>
      </w:r>
    </w:p>
    <w:p>
      <w:pPr>
        <w:spacing w:after="0" w:line="225"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For the transition period from ________ to 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001-38543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ind w:left="2480"/>
              <w:spacing w:after="0"/>
              <w:rPr>
                <w:sz w:val="20"/>
                <w:szCs w:val="20"/>
                <w:color w:val="auto"/>
              </w:rPr>
            </w:pPr>
            <w:r>
              <w:rPr>
                <w:rFonts w:ascii="Arial" w:cs="Arial" w:eastAsia="Arial" w:hAnsi="Arial"/>
                <w:sz w:val="18"/>
                <w:szCs w:val="18"/>
                <w:b w:val="1"/>
                <w:bCs w:val="1"/>
                <w:color w:val="auto"/>
              </w:rPr>
              <w:t>Nevada</w:t>
            </w:r>
          </w:p>
        </w:tc>
        <w:tc>
          <w:tcPr>
            <w:tcW w:w="7220" w:type="dxa"/>
            <w:vAlign w:val="bottom"/>
            <w:gridSpan w:val="7"/>
          </w:tcPr>
          <w:p>
            <w:pPr>
              <w:jc w:val="right"/>
              <w:ind w:right="223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4020" w:type="dxa"/>
            <w:vAlign w:val="bottom"/>
            <w:tcBorders>
              <w:top w:val="single" w:sz="8" w:color="auto"/>
            </w:tcBorders>
          </w:tcPr>
          <w:p>
            <w:pPr>
              <w:ind w:left="1700"/>
              <w:spacing w:after="0" w:line="201" w:lineRule="exact"/>
              <w:rPr>
                <w:sz w:val="20"/>
                <w:szCs w:val="20"/>
                <w:color w:val="auto"/>
              </w:rPr>
            </w:pPr>
            <w:r>
              <w:rPr>
                <w:rFonts w:ascii="Arial" w:cs="Arial" w:eastAsia="Arial" w:hAnsi="Arial"/>
                <w:sz w:val="18"/>
                <w:szCs w:val="18"/>
                <w:color w:val="auto"/>
              </w:rPr>
              <w:t>(State or other jurisdiction of</w:t>
            </w:r>
          </w:p>
        </w:tc>
        <w:tc>
          <w:tcPr>
            <w:tcW w:w="8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0" w:type="dxa"/>
            <w:vAlign w:val="bottom"/>
            <w:tcBorders>
              <w:top w:val="single" w:sz="8" w:color="auto"/>
            </w:tcBorders>
          </w:tcPr>
          <w:p>
            <w:pPr>
              <w:ind w:left="14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020" w:type="dxa"/>
            <w:vAlign w:val="bottom"/>
          </w:tcPr>
          <w:p>
            <w:pPr>
              <w:ind w:left="1680"/>
              <w:spacing w:after="0"/>
              <w:rPr>
                <w:sz w:val="20"/>
                <w:szCs w:val="20"/>
                <w:color w:val="auto"/>
              </w:rPr>
            </w:pPr>
            <w:r>
              <w:rPr>
                <w:rFonts w:ascii="Arial" w:cs="Arial" w:eastAsia="Arial" w:hAnsi="Arial"/>
                <w:sz w:val="18"/>
                <w:szCs w:val="18"/>
                <w:color w:val="auto"/>
                <w:w w:val="99"/>
              </w:rPr>
              <w:t>incorporation or organization)</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0" w:type="dxa"/>
            <w:vAlign w:val="bottom"/>
          </w:tcPr>
          <w:p>
            <w:pPr>
              <w:jc w:val="center"/>
              <w:ind w:right="6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20" w:type="dxa"/>
            <w:vAlign w:val="bottom"/>
          </w:tcPr>
          <w:p>
            <w:pPr>
              <w:spacing w:after="0"/>
              <w:rPr>
                <w:sz w:val="24"/>
                <w:szCs w:val="24"/>
                <w:color w:val="auto"/>
              </w:rPr>
            </w:pPr>
          </w:p>
        </w:tc>
        <w:tc>
          <w:tcPr>
            <w:tcW w:w="7220" w:type="dxa"/>
            <w:vAlign w:val="bottom"/>
            <w:gridSpan w:val="7"/>
          </w:tcPr>
          <w:p>
            <w:pPr>
              <w:jc w:val="center"/>
              <w:ind w:right="3930"/>
              <w:spacing w:after="0"/>
              <w:rPr>
                <w:sz w:val="20"/>
                <w:szCs w:val="20"/>
                <w:color w:val="auto"/>
              </w:rPr>
            </w:pPr>
            <w:r>
              <w:rPr>
                <w:rFonts w:ascii="Arial" w:cs="Arial" w:eastAsia="Arial" w:hAnsi="Arial"/>
                <w:sz w:val="18"/>
                <w:szCs w:val="18"/>
                <w:b w:val="1"/>
                <w:bCs w:val="1"/>
                <w:color w:val="auto"/>
                <w:w w:val="90"/>
              </w:rPr>
              <w:t>400 Water Street, Suite 200</w:t>
            </w:r>
          </w:p>
        </w:tc>
      </w:tr>
      <w:tr>
        <w:trPr>
          <w:trHeight w:val="194"/>
        </w:trPr>
        <w:tc>
          <w:tcPr>
            <w:tcW w:w="4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20" w:type="dxa"/>
            <w:vAlign w:val="bottom"/>
            <w:tcBorders>
              <w:bottom w:val="single" w:sz="8" w:color="auto"/>
            </w:tcBorders>
            <w:gridSpan w:val="5"/>
          </w:tcPr>
          <w:p>
            <w:pPr>
              <w:jc w:val="center"/>
              <w:spacing w:after="0" w:line="194" w:lineRule="exact"/>
              <w:rPr>
                <w:sz w:val="20"/>
                <w:szCs w:val="20"/>
                <w:color w:val="auto"/>
              </w:rPr>
            </w:pPr>
            <w:r>
              <w:rPr>
                <w:rFonts w:ascii="Arial" w:cs="Arial" w:eastAsia="Arial" w:hAnsi="Arial"/>
                <w:sz w:val="18"/>
                <w:szCs w:val="18"/>
                <w:b w:val="1"/>
                <w:bCs w:val="1"/>
                <w:color w:val="auto"/>
                <w:w w:val="90"/>
              </w:rPr>
              <w:t>Rochester, MI, 48307</w:t>
            </w:r>
          </w:p>
        </w:tc>
        <w:tc>
          <w:tcPr>
            <w:tcW w:w="4800" w:type="dxa"/>
            <w:vAlign w:val="bottom"/>
          </w:tcPr>
          <w:p>
            <w:pPr>
              <w:spacing w:after="0"/>
              <w:rPr>
                <w:sz w:val="16"/>
                <w:szCs w:val="16"/>
                <w:color w:val="auto"/>
              </w:rPr>
            </w:pPr>
          </w:p>
        </w:tc>
      </w:tr>
      <w:tr>
        <w:trPr>
          <w:trHeight w:val="236"/>
        </w:trPr>
        <w:tc>
          <w:tcPr>
            <w:tcW w:w="4020" w:type="dxa"/>
            <w:vAlign w:val="bottom"/>
          </w:tcPr>
          <w:p>
            <w:pPr>
              <w:spacing w:after="0"/>
              <w:rPr>
                <w:sz w:val="20"/>
                <w:szCs w:val="20"/>
                <w:color w:val="auto"/>
              </w:rPr>
            </w:pPr>
          </w:p>
        </w:tc>
        <w:tc>
          <w:tcPr>
            <w:tcW w:w="7220" w:type="dxa"/>
            <w:vAlign w:val="bottom"/>
            <w:gridSpan w:val="7"/>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20" w:type="dxa"/>
            <w:vAlign w:val="bottom"/>
          </w:tcPr>
          <w:p>
            <w:pPr>
              <w:spacing w:after="0"/>
              <w:rPr>
                <w:sz w:val="24"/>
                <w:szCs w:val="24"/>
                <w:color w:val="auto"/>
              </w:rPr>
            </w:pPr>
          </w:p>
        </w:tc>
        <w:tc>
          <w:tcPr>
            <w:tcW w:w="2120" w:type="dxa"/>
            <w:vAlign w:val="bottom"/>
            <w:gridSpan w:val="5"/>
          </w:tcPr>
          <w:p>
            <w:pPr>
              <w:jc w:val="center"/>
              <w:ind w:left="1010"/>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237"/>
        </w:trPr>
        <w:tc>
          <w:tcPr>
            <w:tcW w:w="4020" w:type="dxa"/>
            <w:vAlign w:val="bottom"/>
          </w:tcPr>
          <w:p>
            <w:pPr>
              <w:spacing w:after="0"/>
              <w:rPr>
                <w:sz w:val="20"/>
                <w:szCs w:val="20"/>
                <w:color w:val="auto"/>
              </w:rPr>
            </w:pPr>
          </w:p>
        </w:tc>
        <w:tc>
          <w:tcPr>
            <w:tcW w:w="7220" w:type="dxa"/>
            <w:vAlign w:val="bottom"/>
            <w:gridSpan w:val="7"/>
          </w:tcPr>
          <w:p>
            <w:pPr>
              <w:jc w:val="center"/>
              <w:ind w:right="3910"/>
              <w:spacing w:after="0"/>
              <w:rPr>
                <w:sz w:val="20"/>
                <w:szCs w:val="20"/>
                <w:color w:val="auto"/>
              </w:rPr>
            </w:pPr>
            <w:r>
              <w:rPr>
                <w:rFonts w:ascii="Arial" w:cs="Arial" w:eastAsia="Arial" w:hAnsi="Arial"/>
                <w:sz w:val="18"/>
                <w:szCs w:val="18"/>
                <w:color w:val="auto"/>
                <w:w w:val="89"/>
              </w:rPr>
              <w:t>(Registrant's telephone number)</w:t>
            </w: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 reporting company,” and “emerging growth company” in Rule 12b-2 of the Exchange Act.</w:t>
      </w:r>
    </w:p>
    <w:p>
      <w:pPr>
        <w:sectPr>
          <w:pgSz w:w="11900" w:h="16838" w:orient="portrait"/>
          <w:cols w:equalWidth="0" w:num="1">
            <w:col w:w="11240"/>
          </w:cols>
          <w:pgMar w:left="320" w:top="544"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4900" w:space="720"/>
            <w:col w:w="5620"/>
          </w:cols>
          <w:pgMar w:left="320" w:top="544" w:right="339" w:bottom="144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14,816,861 common shares as of August 3, 2020.</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02"/>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922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17"/>
                <w:szCs w:val="17"/>
                <w:color w:val="auto"/>
              </w:rPr>
            </w:pPr>
          </w:p>
        </w:tc>
      </w:tr>
      <w:tr>
        <w:trPr>
          <w:trHeight w:val="676"/>
        </w:trPr>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Page</w:t>
            </w:r>
          </w:p>
        </w:tc>
      </w:tr>
      <w:tr>
        <w:trPr>
          <w:trHeight w:val="432"/>
        </w:trPr>
        <w:tc>
          <w:tcPr>
            <w:tcW w:w="900" w:type="dxa"/>
            <w:vAlign w:val="bottom"/>
          </w:tcPr>
          <w:p>
            <w:pPr>
              <w:spacing w:after="0"/>
              <w:rPr>
                <w:sz w:val="24"/>
                <w:szCs w:val="24"/>
                <w:color w:val="auto"/>
              </w:rPr>
            </w:pPr>
          </w:p>
        </w:tc>
        <w:tc>
          <w:tcPr>
            <w:tcW w:w="9220" w:type="dxa"/>
            <w:vAlign w:val="bottom"/>
            <w:gridSpan w:val="3"/>
          </w:tcPr>
          <w:p>
            <w:pPr>
              <w:jc w:val="center"/>
              <w:ind w:left="15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112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Quantitative and Qualitative Disclosures About Market Risk</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Controls and Procedures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432"/>
        </w:trPr>
        <w:tc>
          <w:tcPr>
            <w:tcW w:w="900" w:type="dxa"/>
            <w:vAlign w:val="bottom"/>
          </w:tcPr>
          <w:p>
            <w:pPr>
              <w:spacing w:after="0"/>
              <w:rPr>
                <w:sz w:val="24"/>
                <w:szCs w:val="24"/>
                <w:color w:val="auto"/>
              </w:rPr>
            </w:pPr>
          </w:p>
        </w:tc>
        <w:tc>
          <w:tcPr>
            <w:tcW w:w="9220" w:type="dxa"/>
            <w:vAlign w:val="bottom"/>
            <w:gridSpan w:val="3"/>
          </w:tcPr>
          <w:p>
            <w:pPr>
              <w:jc w:val="center"/>
              <w:ind w:left="150"/>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PART II – OTHER INFORMATION</w:t>
              </w:r>
            </w:hyperlink>
          </w:p>
        </w:tc>
        <w:tc>
          <w:tcPr>
            <w:tcW w:w="112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Unregistered Sales of Equity Securities and Use of Proceeds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Defaults Upon Senior Securities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Mine Safety Disclosure</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Other Information</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220" w:type="dxa"/>
            <w:vAlign w:val="bottom"/>
            <w:gridSpan w:val="3"/>
          </w:tcPr>
          <w:p>
            <w:pPr>
              <w:ind w:left="2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p>
      <w:pPr>
        <w:spacing w:after="0" w:line="221" w:lineRule="exact"/>
        <w:rPr>
          <w:sz w:val="20"/>
          <w:szCs w:val="20"/>
          <w:color w:val="auto"/>
        </w:rPr>
      </w:pPr>
    </w:p>
    <w:p>
      <w:pPr>
        <w:jc w:val="center"/>
        <w:ind w:right="970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jc w:val="center"/>
        <w:ind w:right="970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1140" w:hanging="610"/>
        <w:spacing w:after="0"/>
        <w:tabs>
          <w:tab w:leader="none" w:pos="114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June 30, 2020 (unaudited) and December 31, 2019 (unaudited);</w:t>
        </w:r>
      </w:hyperlink>
    </w:p>
    <w:p>
      <w:pPr>
        <w:spacing w:after="0" w:line="23" w:lineRule="exact"/>
        <w:rPr>
          <w:sz w:val="20"/>
          <w:szCs w:val="20"/>
          <w:color w:val="auto"/>
        </w:rPr>
      </w:pPr>
    </w:p>
    <w:p>
      <w:pPr>
        <w:ind w:left="1140" w:hanging="610"/>
        <w:spacing w:after="0"/>
        <w:tabs>
          <w:tab w:leader="none" w:pos="1140" w:val="left"/>
        </w:tabs>
        <w:numPr>
          <w:ilvl w:val="0"/>
          <w:numId w:val="3"/>
        </w:numPr>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Condensed Consolidated Statements of Operations for the three and six months ended June 30, 2020 and 2019 (unaudited);</w:t>
        </w:r>
      </w:hyperlink>
    </w:p>
    <w:p>
      <w:pPr>
        <w:spacing w:after="0" w:line="21" w:lineRule="exact"/>
        <w:rPr>
          <w:sz w:val="20"/>
          <w:szCs w:val="20"/>
          <w:color w:val="auto"/>
        </w:rPr>
      </w:pPr>
    </w:p>
    <w:p>
      <w:pPr>
        <w:ind w:left="1140" w:hanging="610"/>
        <w:spacing w:after="0"/>
        <w:tabs>
          <w:tab w:leader="none" w:pos="1140" w:val="left"/>
        </w:tabs>
        <w:numPr>
          <w:ilvl w:val="0"/>
          <w:numId w:val="4"/>
        </w:numPr>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Changes in Stockholders’ Equity for the three and six months ended June 30, 2020 (unaudited)</w:t>
        </w:r>
      </w:hyperlink>
    </w:p>
    <w:p>
      <w:pPr>
        <w:spacing w:after="0" w:line="32" w:lineRule="exact"/>
        <w:rPr>
          <w:rFonts w:ascii="Arial" w:cs="Arial" w:eastAsia="Arial" w:hAnsi="Arial"/>
          <w:sz w:val="16"/>
          <w:szCs w:val="16"/>
          <w:u w:val="single" w:color="auto"/>
          <w:color w:val="0000EE"/>
        </w:rPr>
      </w:pPr>
    </w:p>
    <w:p>
      <w:pPr>
        <w:ind w:left="540"/>
        <w:spacing w:after="0"/>
        <w:rPr>
          <w:rFonts w:ascii="Arial" w:cs="Arial" w:eastAsia="Arial" w:hAnsi="Arial"/>
          <w:sz w:val="16"/>
          <w:szCs w:val="16"/>
          <w:u w:val="single" w:color="auto"/>
          <w:color w:val="0000EE"/>
        </w:rPr>
      </w:pPr>
      <w:r>
        <w:rPr>
          <w:rFonts w:ascii="Arial" w:cs="Arial" w:eastAsia="Arial" w:hAnsi="Arial"/>
          <w:sz w:val="18"/>
          <w:szCs w:val="18"/>
          <w:color w:val="auto"/>
        </w:rPr>
        <w:t>5</w:t>
      </w:r>
      <w:hyperlink w:anchor="page7">
        <w:r>
          <w:rPr>
            <w:rFonts w:ascii="Arial" w:cs="Arial" w:eastAsia="Arial" w:hAnsi="Arial"/>
            <w:sz w:val="16"/>
            <w:szCs w:val="16"/>
            <w:u w:val="single" w:color="auto"/>
            <w:color w:val="0000EE"/>
          </w:rPr>
          <w:t>Condensed Consolidated Statements of Changes in Stockholders’ Equity for the three and six months ended June 30, 2019 (unaudited)</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6"/>
          <w:szCs w:val="16"/>
          <w:u w:val="single" w:color="auto"/>
          <w:color w:val="0000EE"/>
        </w:rPr>
      </w:pPr>
      <w:r>
        <w:rPr>
          <w:rFonts w:ascii="Arial" w:cs="Arial" w:eastAsia="Arial" w:hAnsi="Arial"/>
          <w:sz w:val="18"/>
          <w:szCs w:val="18"/>
          <w:color w:val="auto"/>
        </w:rPr>
        <w:t>6</w:t>
      </w:r>
      <w:hyperlink w:anchor="page8">
        <w:r>
          <w:rPr>
            <w:rFonts w:ascii="Arial" w:cs="Arial" w:eastAsia="Arial" w:hAnsi="Arial"/>
            <w:sz w:val="16"/>
            <w:szCs w:val="16"/>
            <w:u w:val="single" w:color="auto"/>
            <w:color w:val="0000EE"/>
          </w:rPr>
          <w:t>Condensed Consolidated Statements of Cash Flows for the six months ended June 30, 2020 and 2019 (unaudited);</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6"/>
          <w:szCs w:val="16"/>
          <w:u w:val="single" w:color="auto"/>
          <w:color w:val="0000EE"/>
        </w:rPr>
      </w:pPr>
      <w:r>
        <w:rPr>
          <w:rFonts w:ascii="Arial" w:cs="Arial" w:eastAsia="Arial" w:hAnsi="Arial"/>
          <w:sz w:val="18"/>
          <w:szCs w:val="18"/>
          <w:color w:val="auto"/>
        </w:rPr>
        <w:t>7</w:t>
      </w:r>
      <w:hyperlink w:anchor="page9">
        <w:r>
          <w:rPr>
            <w:rFonts w:ascii="Arial" w:cs="Arial" w:eastAsia="Arial" w:hAnsi="Arial"/>
            <w:sz w:val="16"/>
            <w:szCs w:val="16"/>
            <w:u w:val="single" w:color="auto"/>
            <w:color w:val="0000EE"/>
          </w:rPr>
          <w:t>Notes to Condensed Consolidated Financial Statements (unaudited).</w:t>
        </w:r>
      </w:hyperlink>
    </w:p>
    <w:p>
      <w:pPr>
        <w:spacing w:after="0" w:line="200" w:lineRule="exact"/>
        <w:rPr>
          <w:rFonts w:ascii="Arial" w:cs="Arial" w:eastAsia="Arial" w:hAnsi="Arial"/>
          <w:sz w:val="16"/>
          <w:szCs w:val="16"/>
          <w:u w:val="single" w:color="auto"/>
          <w:color w:val="0000EE"/>
        </w:rPr>
      </w:pPr>
    </w:p>
    <w:p>
      <w:pPr>
        <w:spacing w:after="0" w:line="220" w:lineRule="exact"/>
        <w:rPr>
          <w:rFonts w:ascii="Arial" w:cs="Arial" w:eastAsia="Arial" w:hAnsi="Arial"/>
          <w:sz w:val="16"/>
          <w:szCs w:val="16"/>
          <w:u w:val="single" w:color="auto"/>
          <w:color w:val="0000EE"/>
        </w:rPr>
      </w:pPr>
    </w:p>
    <w:p>
      <w:pPr>
        <w:jc w:val="center"/>
        <w:ind w:right="-359"/>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904" w:right="7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Accounts receivable, net</w:t>
      </w:r>
    </w:p>
    <w:p>
      <w:pPr>
        <w:spacing w:after="0" w:line="21" w:lineRule="exact"/>
        <w:rPr>
          <w:sz w:val="20"/>
          <w:szCs w:val="20"/>
          <w:color w:val="auto"/>
        </w:rPr>
      </w:pPr>
    </w:p>
    <w:p>
      <w:pPr>
        <w:jc w:val="both"/>
        <w:ind w:right="100" w:firstLine="180"/>
        <w:spacing w:after="0" w:line="298" w:lineRule="auto"/>
        <w:rPr>
          <w:sz w:val="20"/>
          <w:szCs w:val="20"/>
          <w:color w:val="auto"/>
        </w:rPr>
      </w:pPr>
      <w:r>
        <w:rPr>
          <w:rFonts w:ascii="Arial" w:cs="Arial" w:eastAsia="Arial" w:hAnsi="Arial"/>
          <w:sz w:val="17"/>
          <w:szCs w:val="17"/>
          <w:color w:val="auto"/>
        </w:rPr>
        <w:t>Prepaid expenses Total Current Assets Property and equipment, net</w:t>
      </w: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0" w:right="340"/>
        <w:spacing w:after="0" w:line="265" w:lineRule="auto"/>
        <w:rPr>
          <w:sz w:val="20"/>
          <w:szCs w:val="20"/>
          <w:color w:val="auto"/>
        </w:rPr>
      </w:pPr>
      <w:r>
        <w:rPr>
          <w:rFonts w:ascii="Arial" w:cs="Arial" w:eastAsia="Arial" w:hAnsi="Arial"/>
          <w:sz w:val="17"/>
          <w:szCs w:val="17"/>
          <w:color w:val="auto"/>
        </w:rPr>
        <w:t>Technology assets, net Patent rights, net</w:t>
      </w:r>
    </w:p>
    <w:p>
      <w:pPr>
        <w:ind w:left="180"/>
        <w:spacing w:after="0"/>
        <w:rPr>
          <w:sz w:val="20"/>
          <w:szCs w:val="20"/>
          <w:color w:val="auto"/>
        </w:rPr>
      </w:pPr>
      <w:r>
        <w:rPr>
          <w:rFonts w:ascii="Arial" w:cs="Arial" w:eastAsia="Arial" w:hAnsi="Arial"/>
          <w:sz w:val="16"/>
          <w:szCs w:val="16"/>
          <w:color w:val="auto"/>
        </w:rPr>
        <w:t>Other intangible assets,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assets and deposits</w:t>
      </w:r>
    </w:p>
    <w:p>
      <w:pPr>
        <w:spacing w:after="0" w:line="45" w:lineRule="exact"/>
        <w:rPr>
          <w:sz w:val="20"/>
          <w:szCs w:val="20"/>
          <w:color w:val="auto"/>
        </w:rPr>
      </w:pPr>
    </w:p>
    <w:p>
      <w:pPr>
        <w:ind w:right="800"/>
        <w:spacing w:after="0" w:line="377" w:lineRule="auto"/>
        <w:rPr>
          <w:sz w:val="20"/>
          <w:szCs w:val="20"/>
          <w:color w:val="auto"/>
        </w:rPr>
      </w:pPr>
      <w:r>
        <w:rPr>
          <w:rFonts w:ascii="Arial" w:cs="Arial" w:eastAsia="Arial" w:hAnsi="Arial"/>
          <w:sz w:val="16"/>
          <w:szCs w:val="16"/>
          <w:color w:val="auto"/>
        </w:rPr>
        <w:t>Total Other Assets TOTAL ASSETS</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22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7" w:lineRule="exact"/>
        <w:rPr>
          <w:sz w:val="20"/>
          <w:szCs w:val="20"/>
          <w:color w:val="auto"/>
        </w:rPr>
      </w:pPr>
    </w:p>
    <w:tbl>
      <w:tblPr>
        <w:tblLayout w:type="fixed"/>
        <w:tblInd w:w="6360" w:type="dxa"/>
        <w:tblCellMar>
          <w:top w:w="0" w:type="dxa"/>
          <w:left w:w="0" w:type="dxa"/>
          <w:bottom w:w="0" w:type="dxa"/>
          <w:right w:w="0" w:type="dxa"/>
        </w:tblCellMar>
      </w:tblPr>
      <w:tr>
        <w:trPr>
          <w:trHeight w:val="216"/>
        </w:trPr>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bl>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ASSETS</w:t>
      </w:r>
    </w:p>
    <w:p>
      <w:pPr>
        <w:spacing w:after="0" w:line="229" w:lineRule="exact"/>
        <w:rPr>
          <w:sz w:val="20"/>
          <w:szCs w:val="20"/>
          <w:color w:val="auto"/>
        </w:rPr>
      </w:pPr>
    </w:p>
    <w:p>
      <w:pPr>
        <w:ind w:left="6360"/>
        <w:spacing w:after="0"/>
        <w:tabs>
          <w:tab w:leader="none" w:pos="6660" w:val="left"/>
          <w:tab w:leader="none" w:pos="7680" w:val="left"/>
          <w:tab w:leader="none" w:pos="7980" w:val="left"/>
        </w:tabs>
        <w:rPr>
          <w:sz w:val="20"/>
          <w:szCs w:val="20"/>
          <w:color w:val="auto"/>
        </w:rPr>
      </w:pPr>
      <w:r>
        <w:rPr>
          <w:rFonts w:ascii="Arial" w:cs="Arial" w:eastAsia="Arial" w:hAnsi="Arial"/>
          <w:sz w:val="18"/>
          <w:szCs w:val="18"/>
          <w:color w:val="auto"/>
        </w:rPr>
        <w:t>$</w:t>
        <w:tab/>
        <w:t>14,114,294</w:t>
        <w:tab/>
        <w:t>$</w:t>
      </w:r>
      <w:r>
        <w:rPr>
          <w:sz w:val="20"/>
          <w:szCs w:val="20"/>
          <w:color w:val="auto"/>
        </w:rPr>
        <w:tab/>
      </w:r>
      <w:r>
        <w:rPr>
          <w:rFonts w:ascii="Arial" w:cs="Arial" w:eastAsia="Arial" w:hAnsi="Arial"/>
          <w:sz w:val="16"/>
          <w:szCs w:val="16"/>
          <w:color w:val="auto"/>
        </w:rPr>
        <w:t>18,852,680</w:t>
      </w:r>
    </w:p>
    <w:p>
      <w:pPr>
        <w:spacing w:after="0" w:line="23" w:lineRule="exact"/>
        <w:rPr>
          <w:sz w:val="20"/>
          <w:szCs w:val="20"/>
          <w:color w:val="auto"/>
        </w:rPr>
      </w:pPr>
    </w:p>
    <w:p>
      <w:pPr>
        <w:ind w:left="6680"/>
        <w:spacing w:after="0"/>
        <w:tabs>
          <w:tab w:leader="none" w:pos="8080" w:val="left"/>
        </w:tabs>
        <w:rPr>
          <w:sz w:val="20"/>
          <w:szCs w:val="20"/>
          <w:color w:val="auto"/>
        </w:rPr>
      </w:pPr>
      <w:r>
        <w:rPr>
          <w:rFonts w:ascii="Arial" w:cs="Arial" w:eastAsia="Arial" w:hAnsi="Arial"/>
          <w:sz w:val="16"/>
          <w:szCs w:val="16"/>
          <w:color w:val="auto"/>
        </w:rPr>
        <w:t>10,805,191</w:t>
      </w:r>
      <w:r>
        <w:rPr>
          <w:sz w:val="20"/>
          <w:szCs w:val="20"/>
          <w:color w:val="auto"/>
        </w:rPr>
        <w:tab/>
      </w:r>
      <w:r>
        <w:rPr>
          <w:rFonts w:ascii="Arial" w:cs="Arial" w:eastAsia="Arial" w:hAnsi="Arial"/>
          <w:sz w:val="16"/>
          <w:szCs w:val="16"/>
          <w:color w:val="auto"/>
        </w:rPr>
        <w:t>7,418,025</w:t>
      </w:r>
    </w:p>
    <w:p>
      <w:pPr>
        <w:spacing w:after="0" w:line="32" w:lineRule="exact"/>
        <w:rPr>
          <w:sz w:val="20"/>
          <w:szCs w:val="20"/>
          <w:color w:val="auto"/>
        </w:rPr>
      </w:pPr>
    </w:p>
    <w:p>
      <w:pPr>
        <w:ind w:left="6760"/>
        <w:spacing w:after="0"/>
        <w:tabs>
          <w:tab w:leader="none" w:pos="8200" w:val="left"/>
        </w:tabs>
        <w:rPr>
          <w:sz w:val="20"/>
          <w:szCs w:val="20"/>
          <w:color w:val="auto"/>
        </w:rPr>
      </w:pPr>
      <w:r>
        <w:rPr>
          <w:rFonts w:ascii="Arial" w:cs="Arial" w:eastAsia="Arial" w:hAnsi="Arial"/>
          <w:sz w:val="16"/>
          <w:szCs w:val="16"/>
          <w:color w:val="auto"/>
        </w:rPr>
        <w:t>2,701,249</w:t>
      </w:r>
      <w:r>
        <w:rPr>
          <w:sz w:val="20"/>
          <w:szCs w:val="20"/>
          <w:color w:val="auto"/>
        </w:rPr>
        <w:tab/>
      </w:r>
      <w:r>
        <w:rPr>
          <w:rFonts w:ascii="Arial" w:cs="Arial" w:eastAsia="Arial" w:hAnsi="Arial"/>
          <w:sz w:val="16"/>
          <w:szCs w:val="16"/>
          <w:color w:val="auto"/>
        </w:rPr>
        <w:t>871,043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29210</wp:posOffset>
            </wp:positionV>
            <wp:extent cx="15601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8" w:lineRule="exact"/>
        <w:rPr>
          <w:sz w:val="20"/>
          <w:szCs w:val="20"/>
          <w:color w:val="auto"/>
        </w:rPr>
      </w:pPr>
    </w:p>
    <w:p>
      <w:pPr>
        <w:jc w:val="both"/>
        <w:ind w:left="6680"/>
        <w:spacing w:after="0"/>
        <w:tabs>
          <w:tab w:leader="none" w:pos="7980" w:val="left"/>
        </w:tabs>
        <w:rPr>
          <w:sz w:val="20"/>
          <w:szCs w:val="20"/>
          <w:color w:val="auto"/>
        </w:rPr>
      </w:pPr>
      <w:r>
        <w:rPr>
          <w:rFonts w:ascii="Arial" w:cs="Arial" w:eastAsia="Arial" w:hAnsi="Arial"/>
          <w:sz w:val="18"/>
          <w:szCs w:val="18"/>
          <w:color w:val="auto"/>
        </w:rPr>
        <w:t>27,620,734</w:t>
      </w:r>
      <w:r>
        <w:rPr>
          <w:sz w:val="20"/>
          <w:szCs w:val="20"/>
          <w:color w:val="auto"/>
        </w:rPr>
        <w:tab/>
      </w:r>
      <w:r>
        <w:rPr>
          <w:rFonts w:ascii="Arial" w:cs="Arial" w:eastAsia="Arial" w:hAnsi="Arial"/>
          <w:sz w:val="18"/>
          <w:szCs w:val="18"/>
          <w:color w:val="auto"/>
        </w:rPr>
        <w:t>27,141,748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15601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6900"/>
        <w:spacing w:after="0"/>
        <w:tabs>
          <w:tab w:leader="none" w:pos="8200" w:val="left"/>
        </w:tabs>
        <w:rPr>
          <w:sz w:val="20"/>
          <w:szCs w:val="20"/>
          <w:color w:val="auto"/>
        </w:rPr>
      </w:pPr>
      <w:r>
        <w:rPr>
          <w:rFonts w:ascii="Arial" w:cs="Arial" w:eastAsia="Arial" w:hAnsi="Arial"/>
          <w:sz w:val="16"/>
          <w:szCs w:val="16"/>
          <w:color w:val="auto"/>
        </w:rPr>
        <w:t>156,550</w:t>
      </w:r>
      <w:r>
        <w:rPr>
          <w:sz w:val="20"/>
          <w:szCs w:val="20"/>
          <w:color w:val="auto"/>
        </w:rPr>
        <w:tab/>
      </w:r>
      <w:r>
        <w:rPr>
          <w:rFonts w:ascii="Arial" w:cs="Arial" w:eastAsia="Arial" w:hAnsi="Arial"/>
          <w:sz w:val="16"/>
          <w:szCs w:val="16"/>
          <w:color w:val="auto"/>
        </w:rPr>
        <w:t>176,014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29210</wp:posOffset>
            </wp:positionV>
            <wp:extent cx="15601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55" w:lineRule="exact"/>
        <w:rPr>
          <w:sz w:val="20"/>
          <w:szCs w:val="20"/>
          <w:color w:val="auto"/>
        </w:rPr>
      </w:pPr>
    </w:p>
    <w:p>
      <w:pPr>
        <w:jc w:val="both"/>
        <w:ind w:left="6680"/>
        <w:spacing w:after="0"/>
        <w:tabs>
          <w:tab w:leader="none" w:pos="7980" w:val="left"/>
        </w:tabs>
        <w:rPr>
          <w:sz w:val="20"/>
          <w:szCs w:val="20"/>
          <w:color w:val="auto"/>
        </w:rPr>
      </w:pPr>
      <w:r>
        <w:rPr>
          <w:rFonts w:ascii="Arial" w:cs="Arial" w:eastAsia="Arial" w:hAnsi="Arial"/>
          <w:sz w:val="18"/>
          <w:szCs w:val="18"/>
          <w:color w:val="auto"/>
        </w:rPr>
        <w:t>14,740,031</w:t>
      </w:r>
      <w:r>
        <w:rPr>
          <w:sz w:val="20"/>
          <w:szCs w:val="20"/>
          <w:color w:val="auto"/>
        </w:rPr>
        <w:tab/>
      </w:r>
      <w:r>
        <w:rPr>
          <w:rFonts w:ascii="Arial" w:cs="Arial" w:eastAsia="Arial" w:hAnsi="Arial"/>
          <w:sz w:val="18"/>
          <w:szCs w:val="18"/>
          <w:color w:val="auto"/>
        </w:rPr>
        <w:t>14,740,031</w:t>
      </w:r>
    </w:p>
    <w:p>
      <w:pPr>
        <w:spacing w:after="0" w:line="23" w:lineRule="exact"/>
        <w:rPr>
          <w:sz w:val="20"/>
          <w:szCs w:val="20"/>
          <w:color w:val="auto"/>
        </w:rPr>
      </w:pPr>
    </w:p>
    <w:p>
      <w:pPr>
        <w:ind w:left="6760"/>
        <w:spacing w:after="0"/>
        <w:tabs>
          <w:tab w:leader="none" w:pos="8080" w:val="left"/>
        </w:tabs>
        <w:rPr>
          <w:sz w:val="20"/>
          <w:szCs w:val="20"/>
          <w:color w:val="auto"/>
        </w:rPr>
      </w:pPr>
      <w:r>
        <w:rPr>
          <w:rFonts w:ascii="Arial" w:cs="Arial" w:eastAsia="Arial" w:hAnsi="Arial"/>
          <w:sz w:val="16"/>
          <w:szCs w:val="16"/>
          <w:color w:val="auto"/>
        </w:rPr>
        <w:t>5,722,762</w:t>
      </w:r>
      <w:r>
        <w:rPr>
          <w:sz w:val="20"/>
          <w:szCs w:val="20"/>
          <w:color w:val="auto"/>
        </w:rPr>
        <w:tab/>
      </w:r>
      <w:r>
        <w:rPr>
          <w:rFonts w:ascii="Arial" w:cs="Arial" w:eastAsia="Arial" w:hAnsi="Arial"/>
          <w:sz w:val="16"/>
          <w:szCs w:val="16"/>
          <w:color w:val="auto"/>
        </w:rPr>
        <w:t>6,238,453</w:t>
      </w:r>
    </w:p>
    <w:p>
      <w:pPr>
        <w:spacing w:after="0" w:line="32" w:lineRule="exact"/>
        <w:rPr>
          <w:sz w:val="20"/>
          <w:szCs w:val="20"/>
          <w:color w:val="auto"/>
        </w:rPr>
      </w:pPr>
    </w:p>
    <w:p>
      <w:pPr>
        <w:ind w:left="6760"/>
        <w:spacing w:after="0"/>
        <w:tabs>
          <w:tab w:leader="none" w:pos="8080" w:val="left"/>
        </w:tabs>
        <w:rPr>
          <w:sz w:val="20"/>
          <w:szCs w:val="20"/>
          <w:color w:val="auto"/>
        </w:rPr>
      </w:pPr>
      <w:r>
        <w:rPr>
          <w:rFonts w:ascii="Arial" w:cs="Arial" w:eastAsia="Arial" w:hAnsi="Arial"/>
          <w:sz w:val="16"/>
          <w:szCs w:val="16"/>
          <w:color w:val="auto"/>
        </w:rPr>
        <w:t>2,442,409</w:t>
      </w:r>
      <w:r>
        <w:rPr>
          <w:sz w:val="20"/>
          <w:szCs w:val="20"/>
          <w:color w:val="auto"/>
        </w:rPr>
        <w:tab/>
      </w:r>
      <w:r>
        <w:rPr>
          <w:rFonts w:ascii="Arial" w:cs="Arial" w:eastAsia="Arial" w:hAnsi="Arial"/>
          <w:sz w:val="16"/>
          <w:szCs w:val="16"/>
          <w:color w:val="auto"/>
        </w:rPr>
        <w:t>2,550,587</w:t>
      </w:r>
    </w:p>
    <w:p>
      <w:pPr>
        <w:spacing w:after="0" w:line="32" w:lineRule="exact"/>
        <w:rPr>
          <w:sz w:val="20"/>
          <w:szCs w:val="20"/>
          <w:color w:val="auto"/>
        </w:rPr>
      </w:pPr>
    </w:p>
    <w:p>
      <w:pPr>
        <w:ind w:left="6760"/>
        <w:spacing w:after="0"/>
        <w:tabs>
          <w:tab w:leader="none" w:pos="8080" w:val="left"/>
        </w:tabs>
        <w:rPr>
          <w:sz w:val="20"/>
          <w:szCs w:val="20"/>
          <w:color w:val="auto"/>
        </w:rPr>
      </w:pPr>
      <w:r>
        <w:rPr>
          <w:rFonts w:ascii="Arial" w:cs="Arial" w:eastAsia="Arial" w:hAnsi="Arial"/>
          <w:sz w:val="16"/>
          <w:szCs w:val="16"/>
          <w:color w:val="auto"/>
        </w:rPr>
        <w:t>4,835,327</w:t>
      </w:r>
      <w:r>
        <w:rPr>
          <w:sz w:val="20"/>
          <w:szCs w:val="20"/>
          <w:color w:val="auto"/>
        </w:rPr>
        <w:tab/>
      </w:r>
      <w:r>
        <w:rPr>
          <w:rFonts w:ascii="Arial" w:cs="Arial" w:eastAsia="Arial" w:hAnsi="Arial"/>
          <w:sz w:val="16"/>
          <w:szCs w:val="16"/>
          <w:color w:val="auto"/>
        </w:rPr>
        <w:t>5,151,102</w:t>
      </w:r>
    </w:p>
    <w:p>
      <w:pPr>
        <w:spacing w:after="0" w:line="32" w:lineRule="exact"/>
        <w:rPr>
          <w:sz w:val="20"/>
          <w:szCs w:val="20"/>
          <w:color w:val="auto"/>
        </w:rPr>
      </w:pPr>
    </w:p>
    <w:p>
      <w:pPr>
        <w:ind w:left="6900"/>
        <w:spacing w:after="0"/>
        <w:tabs>
          <w:tab w:leader="none" w:pos="8200" w:val="left"/>
        </w:tabs>
        <w:rPr>
          <w:sz w:val="20"/>
          <w:szCs w:val="20"/>
          <w:color w:val="auto"/>
        </w:rPr>
      </w:pPr>
      <w:r>
        <w:rPr>
          <w:rFonts w:ascii="Arial" w:cs="Arial" w:eastAsia="Arial" w:hAnsi="Arial"/>
          <w:sz w:val="16"/>
          <w:szCs w:val="16"/>
          <w:color w:val="auto"/>
        </w:rPr>
        <w:t>503,506</w:t>
      </w:r>
      <w:r>
        <w:rPr>
          <w:sz w:val="20"/>
          <w:szCs w:val="20"/>
          <w:color w:val="auto"/>
        </w:rPr>
        <w:tab/>
      </w:r>
      <w:r>
        <w:rPr>
          <w:rFonts w:ascii="Arial" w:cs="Arial" w:eastAsia="Arial" w:hAnsi="Arial"/>
          <w:sz w:val="16"/>
          <w:szCs w:val="16"/>
          <w:color w:val="auto"/>
        </w:rPr>
        <w:t>559,863</w:t>
      </w:r>
    </w:p>
    <w:p>
      <w:pPr>
        <w:spacing w:after="0" w:line="32" w:lineRule="exact"/>
        <w:rPr>
          <w:sz w:val="20"/>
          <w:szCs w:val="20"/>
          <w:color w:val="auto"/>
        </w:rPr>
      </w:pPr>
    </w:p>
    <w:p>
      <w:pPr>
        <w:jc w:val="both"/>
        <w:ind w:left="7000"/>
        <w:spacing w:after="0"/>
        <w:tabs>
          <w:tab w:leader="none" w:pos="8300" w:val="left"/>
        </w:tabs>
        <w:rPr>
          <w:sz w:val="20"/>
          <w:szCs w:val="20"/>
          <w:color w:val="auto"/>
        </w:rPr>
      </w:pPr>
      <w:r>
        <w:rPr>
          <w:rFonts w:ascii="Arial" w:cs="Arial" w:eastAsia="Arial" w:hAnsi="Arial"/>
          <w:sz w:val="18"/>
          <w:szCs w:val="18"/>
          <w:color w:val="auto"/>
        </w:rPr>
        <w:t>35,943</w:t>
      </w:r>
      <w:r>
        <w:rPr>
          <w:sz w:val="20"/>
          <w:szCs w:val="20"/>
          <w:color w:val="auto"/>
        </w:rPr>
        <w:tab/>
      </w:r>
      <w:r>
        <w:rPr>
          <w:rFonts w:ascii="Arial" w:cs="Arial" w:eastAsia="Arial" w:hAnsi="Arial"/>
          <w:sz w:val="18"/>
          <w:szCs w:val="18"/>
          <w:color w:val="auto"/>
        </w:rPr>
        <w:t>80,727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15601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jc w:val="both"/>
        <w:ind w:left="6680"/>
        <w:spacing w:after="0"/>
        <w:tabs>
          <w:tab w:leader="none" w:pos="7980" w:val="left"/>
        </w:tabs>
        <w:rPr>
          <w:sz w:val="20"/>
          <w:szCs w:val="20"/>
          <w:color w:val="auto"/>
        </w:rPr>
      </w:pPr>
      <w:r>
        <w:rPr>
          <w:rFonts w:ascii="Arial" w:cs="Arial" w:eastAsia="Arial" w:hAnsi="Arial"/>
          <w:sz w:val="18"/>
          <w:szCs w:val="18"/>
          <w:color w:val="auto"/>
        </w:rPr>
        <w:t>28,279,978</w:t>
      </w:r>
      <w:r>
        <w:rPr>
          <w:sz w:val="20"/>
          <w:szCs w:val="20"/>
          <w:color w:val="auto"/>
        </w:rPr>
        <w:tab/>
      </w:r>
      <w:r>
        <w:rPr>
          <w:rFonts w:ascii="Arial" w:cs="Arial" w:eastAsia="Arial" w:hAnsi="Arial"/>
          <w:sz w:val="18"/>
          <w:szCs w:val="18"/>
          <w:color w:val="auto"/>
        </w:rPr>
        <w:t>29,320,763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15601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3" w:lineRule="exact"/>
        <w:rPr>
          <w:sz w:val="20"/>
          <w:szCs w:val="20"/>
          <w:color w:val="auto"/>
        </w:rPr>
      </w:pPr>
    </w:p>
    <w:p>
      <w:pPr>
        <w:jc w:val="both"/>
        <w:ind w:left="6360"/>
        <w:spacing w:after="0"/>
        <w:tabs>
          <w:tab w:leader="none" w:pos="6660" w:val="left"/>
          <w:tab w:leader="none" w:pos="7680" w:val="left"/>
          <w:tab w:leader="none" w:pos="7980" w:val="left"/>
        </w:tabs>
        <w:rPr>
          <w:sz w:val="20"/>
          <w:szCs w:val="20"/>
          <w:color w:val="auto"/>
        </w:rPr>
      </w:pPr>
      <w:r>
        <w:rPr>
          <w:rFonts w:ascii="Arial" w:cs="Arial" w:eastAsia="Arial" w:hAnsi="Arial"/>
          <w:sz w:val="18"/>
          <w:szCs w:val="18"/>
          <w:u w:val="single" w:color="auto"/>
          <w:color w:val="auto"/>
        </w:rPr>
        <w:t>$</w:t>
        <w:tab/>
        <w:t>56,057,262</w:t>
        <w:tab/>
        <w:t>$</w:t>
      </w:r>
      <w:r>
        <w:rPr>
          <w:sz w:val="20"/>
          <w:szCs w:val="20"/>
          <w:color w:val="auto"/>
        </w:rPr>
        <w:tab/>
      </w:r>
      <w:r>
        <w:rPr>
          <w:rFonts w:ascii="Arial" w:cs="Arial" w:eastAsia="Arial" w:hAnsi="Arial"/>
          <w:sz w:val="16"/>
          <w:szCs w:val="16"/>
          <w:u w:val="single" w:color="auto"/>
          <w:color w:val="auto"/>
        </w:rPr>
        <w:t>56,638,525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40640</wp:posOffset>
            </wp:positionV>
            <wp:extent cx="15601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2" w:lineRule="exact"/>
        <w:rPr>
          <w:sz w:val="20"/>
          <w:szCs w:val="20"/>
          <w:color w:val="auto"/>
        </w:rPr>
      </w:pPr>
    </w:p>
    <w:p>
      <w:pPr>
        <w:sectPr>
          <w:pgSz w:w="11900" w:h="16838" w:orient="portrait"/>
          <w:cols w:equalWidth="0" w:num="2">
            <w:col w:w="2140" w:space="180"/>
            <w:col w:w="8880"/>
          </w:cols>
          <w:pgMar w:left="320" w:top="904" w:right="379" w:bottom="1440" w:gutter="0" w:footer="0" w:header="0"/>
        </w:sect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496,742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492,995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2,044,335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1,800,635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3,496,489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1,618,438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119,512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115.431</w:t>
            </w: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5,360,812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648,692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580,014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12,166,582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6,107,513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387,654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448,753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Contingent purchase price payable, net of current portion</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5,220,000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Non-current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387,654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5,668,753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12,554,236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11,776,266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4"/>
              </w:rPr>
              <w:t>Preferred stock, $0.001 par value, 10,000,000 shares authorized, no issued and outstanding at June 30, 2020 or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Common stock, $0.001 par value, 500,000,000 shares authorized, 14,752,600 and 14,600,579 shares issued and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at June 30, 2020 and December 31, 2019, respectively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14,753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14,601</w:t>
            </w: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80,194,282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78,272,268</w:t>
            </w:r>
          </w:p>
        </w:tc>
        <w:tc>
          <w:tcPr>
            <w:tcW w:w="40" w:type="dxa"/>
            <w:vAlign w:val="bottom"/>
          </w:tcPr>
          <w:p>
            <w:pPr>
              <w:spacing w:after="0"/>
              <w:rPr>
                <w:sz w:val="18"/>
                <w:szCs w:val="18"/>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(36,706,009)</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(33,424,610)</w:t>
            </w: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43,503,026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44,862,259</w:t>
            </w:r>
          </w:p>
        </w:tc>
        <w:tc>
          <w:tcPr>
            <w:tcW w:w="40" w:type="dxa"/>
            <w:vAlign w:val="bottom"/>
          </w:tcPr>
          <w:p>
            <w:pPr>
              <w:spacing w:after="0"/>
              <w:rPr>
                <w:sz w:val="19"/>
                <w:szCs w:val="19"/>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56,057,262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56,638,525</w:t>
            </w:r>
          </w:p>
        </w:tc>
        <w:tc>
          <w:tcPr>
            <w:tcW w:w="4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For the Three Months Ended</w:t>
            </w:r>
          </w:p>
        </w:tc>
        <w:tc>
          <w:tcPr>
            <w:tcW w:w="140" w:type="dxa"/>
            <w:vAlign w:val="bottom"/>
          </w:tcPr>
          <w:p>
            <w:pPr>
              <w:spacing w:after="0"/>
              <w:rPr>
                <w:sz w:val="19"/>
                <w:szCs w:val="19"/>
                <w:color w:val="auto"/>
              </w:rPr>
            </w:pPr>
          </w:p>
        </w:tc>
        <w:tc>
          <w:tcPr>
            <w:tcW w:w="236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3"/>
              </w:rPr>
              <w:t>For the 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8,783,230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7,006,291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16,367,832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12,215,725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1"/>
                <w:szCs w:val="21"/>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3,639,016</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2,687,143</w:t>
            </w:r>
          </w:p>
        </w:tc>
        <w:tc>
          <w:tcPr>
            <w:tcW w:w="14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6,880,779</w:t>
            </w:r>
          </w:p>
        </w:tc>
        <w:tc>
          <w:tcPr>
            <w:tcW w:w="2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4,270,623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5,144,214</w:t>
            </w: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4,319,148</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9,487,053</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7,945,102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6,200,027</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3,839,105</w:t>
            </w:r>
          </w:p>
        </w:tc>
        <w:tc>
          <w:tcPr>
            <w:tcW w:w="14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12,802,118</w:t>
            </w: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7,332,894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(1,055,813</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480,043</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(3,315,065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612,208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8,345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33,574</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63,666</w:t>
            </w:r>
          </w:p>
        </w:tc>
        <w:tc>
          <w:tcPr>
            <w:tcW w:w="2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55,938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21"/>
                <w:szCs w:val="21"/>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(107,000)</w:t>
            </w:r>
          </w:p>
        </w:tc>
        <w:tc>
          <w:tcPr>
            <w:tcW w:w="14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5980" w:type="dxa"/>
            <w:vAlign w:val="bottom"/>
          </w:tcPr>
          <w:p>
            <w:pPr>
              <w:ind w:left="18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24"/>
                <w:szCs w:val="24"/>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(21,655)</w:t>
            </w:r>
          </w:p>
        </w:tc>
        <w:tc>
          <w:tcPr>
            <w:tcW w:w="2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(73,426)</w:t>
            </w:r>
          </w:p>
        </w:tc>
        <w:tc>
          <w:tcPr>
            <w:tcW w:w="14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33,666</w:t>
            </w:r>
          </w:p>
        </w:tc>
        <w:tc>
          <w:tcPr>
            <w:tcW w:w="26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(199,062)</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INCOME(LOSS) BEFORE PROVISION FOR INCOME TAXES</w:t>
            </w:r>
          </w:p>
        </w:tc>
        <w:tc>
          <w:tcPr>
            <w:tcW w:w="100" w:type="dxa"/>
            <w:vAlign w:val="bottom"/>
          </w:tcPr>
          <w:p>
            <w:pPr>
              <w:spacing w:after="0"/>
              <w:rPr>
                <w:sz w:val="24"/>
                <w:szCs w:val="24"/>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(1,077,468)</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406,617</w:t>
            </w:r>
          </w:p>
        </w:tc>
        <w:tc>
          <w:tcPr>
            <w:tcW w:w="140" w:type="dxa"/>
            <w:vAlign w:val="bottom"/>
          </w:tcPr>
          <w:p>
            <w:pPr>
              <w:spacing w:after="0"/>
              <w:rPr>
                <w:sz w:val="24"/>
                <w:szCs w:val="24"/>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(3,281,399)</w:t>
            </w: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413,146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4"/>
                <w:szCs w:val="24"/>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000000"/>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(1,077,468</w:t>
            </w:r>
          </w:p>
        </w:tc>
        <w:tc>
          <w:tcPr>
            <w:tcW w:w="260" w:type="dxa"/>
            <w:vAlign w:val="bottom"/>
            <w:vMerge w:val="continue"/>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406,617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(3,281,399</w:t>
            </w:r>
          </w:p>
        </w:tc>
        <w:tc>
          <w:tcPr>
            <w:tcW w:w="22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413,146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4"/>
                <w:szCs w:val="24"/>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14,667,216</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12,743,379</w:t>
            </w:r>
          </w:p>
        </w:tc>
        <w:tc>
          <w:tcPr>
            <w:tcW w:w="14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14,638,359</w:t>
            </w:r>
          </w:p>
        </w:tc>
        <w:tc>
          <w:tcPr>
            <w:tcW w:w="26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12,412,442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14,667,216</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13,806,761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14,638,359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13,467,562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1"/>
              <w:spacing w:after="0" w:line="271" w:lineRule="exact"/>
              <w:rPr>
                <w:sz w:val="20"/>
                <w:szCs w:val="20"/>
                <w:color w:val="auto"/>
              </w:rPr>
            </w:pPr>
            <w:r>
              <w:rPr>
                <w:rFonts w:ascii="Arial" w:cs="Arial" w:eastAsia="Arial" w:hAnsi="Arial"/>
                <w:sz w:val="17"/>
                <w:szCs w:val="17"/>
                <w:color w:val="auto"/>
              </w:rPr>
              <w:t>(0.07</w:t>
            </w:r>
            <w:r>
              <w:rPr>
                <w:rFonts w:ascii="Arial" w:cs="Arial" w:eastAsia="Arial" w:hAnsi="Arial"/>
                <w:sz w:val="31"/>
                <w:szCs w:val="31"/>
                <w:color w:val="auto"/>
                <w:vertAlign w:val="superscript"/>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(0.22</w:t>
            </w:r>
            <w:r>
              <w:rPr>
                <w:rFonts w:ascii="Arial" w:cs="Arial" w:eastAsia="Arial" w:hAnsi="Arial"/>
                <w:sz w:val="31"/>
                <w:szCs w:val="31"/>
                <w:color w:val="auto"/>
                <w:vertAlign w:val="super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60" w:type="dxa"/>
            <w:vAlign w:val="bottom"/>
            <w:vMerge w:val="continue"/>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20" w:type="dxa"/>
            <w:vAlign w:val="bottom"/>
            <w:vMerge w:val="continue"/>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6"/>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January 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14,600,579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14,601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78,272,268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(33,424,610)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44,862,259</w:t>
            </w:r>
          </w:p>
        </w:tc>
        <w:tc>
          <w:tcPr>
            <w:tcW w:w="6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11,136</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99,989</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35,032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112,117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112,152</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754,512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754,512</w:t>
            </w:r>
          </w:p>
        </w:tc>
        <w:tc>
          <w:tcPr>
            <w:tcW w:w="6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(2,203,931)</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(2,203,931)</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620" w:type="dxa"/>
            <w:vAlign w:val="bottom"/>
          </w:tcPr>
          <w:p>
            <w:pPr>
              <w:ind w:left="60"/>
              <w:spacing w:after="0"/>
              <w:rPr>
                <w:sz w:val="20"/>
                <w:szCs w:val="20"/>
                <w:color w:val="auto"/>
              </w:rPr>
            </w:pPr>
            <w:r>
              <w:rPr>
                <w:rFonts w:ascii="Arial" w:cs="Arial" w:eastAsia="Arial" w:hAnsi="Arial"/>
                <w:sz w:val="18"/>
                <w:szCs w:val="18"/>
                <w:color w:val="auto"/>
              </w:rPr>
              <w:t>Balance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14,646,747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14,647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79,238,886</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(35,628,541)</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43,624,992</w:t>
            </w:r>
          </w:p>
        </w:tc>
        <w:tc>
          <w:tcPr>
            <w:tcW w:w="6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7,748</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100,019</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100,027</w:t>
            </w:r>
          </w:p>
        </w:tc>
        <w:tc>
          <w:tcPr>
            <w:tcW w:w="6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55,731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174,775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174,831</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42,374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680,602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680,644</w:t>
            </w:r>
          </w:p>
        </w:tc>
        <w:tc>
          <w:tcPr>
            <w:tcW w:w="6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(1,077,468)</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(1,077,468)</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4620" w:type="dxa"/>
            <w:vAlign w:val="bottom"/>
          </w:tcPr>
          <w:p>
            <w:pPr>
              <w:spacing w:after="0"/>
              <w:rPr>
                <w:sz w:val="20"/>
                <w:szCs w:val="20"/>
                <w:color w:val="auto"/>
              </w:rPr>
            </w:pPr>
            <w:r>
              <w:rPr>
                <w:rFonts w:ascii="Arial" w:cs="Arial" w:eastAsia="Arial" w:hAnsi="Arial"/>
                <w:sz w:val="18"/>
                <w:szCs w:val="18"/>
                <w:color w:val="auto"/>
              </w:rPr>
              <w:t>Balance June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14,752,600</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14,753</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80,194,282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(36,706,009</w:t>
            </w:r>
            <w:r>
              <w:rPr>
                <w:rFonts w:ascii="Arial" w:cs="Arial" w:eastAsia="Arial" w:hAnsi="Arial"/>
                <w:sz w:val="35"/>
                <w:szCs w:val="35"/>
                <w:color w:val="auto"/>
                <w:w w:val="94"/>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43,503,026</w:t>
            </w:r>
          </w:p>
        </w:tc>
        <w:tc>
          <w:tcPr>
            <w:tcW w:w="60" w:type="dxa"/>
            <w:vAlign w:val="bottom"/>
          </w:tcPr>
          <w:p>
            <w:pPr>
              <w:spacing w:after="0"/>
              <w:rPr>
                <w:sz w:val="24"/>
                <w:szCs w:val="24"/>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SIX MONTHS ENDED JUNE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6"/>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January 1, 2019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12,038,618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12,039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48,725,211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(30,278,805)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18,458,445</w:t>
            </w:r>
          </w:p>
        </w:tc>
        <w:tc>
          <w:tcPr>
            <w:tcW w:w="6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w w:val="94"/>
              </w:rPr>
              <w:t>Cumulative effect of change in accounting principle related to</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lease accounting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(3,229)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(3,229)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restricted stock awards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130,001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101,878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343,683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343,785</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8,336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106,026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106,034</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530,312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530,312</w:t>
            </w:r>
          </w:p>
        </w:tc>
        <w:tc>
          <w:tcPr>
            <w:tcW w:w="6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6,529</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6,529</w:t>
            </w:r>
          </w:p>
        </w:tc>
        <w:tc>
          <w:tcPr>
            <w:tcW w:w="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March 31, 2019</w:t>
            </w:r>
          </w:p>
        </w:tc>
        <w:tc>
          <w:tcPr>
            <w:tcW w:w="1140" w:type="dxa"/>
            <w:vAlign w:val="bottom"/>
          </w:tcPr>
          <w:p>
            <w:pPr>
              <w:jc w:val="right"/>
              <w:spacing w:after="0"/>
              <w:rPr>
                <w:sz w:val="20"/>
                <w:szCs w:val="20"/>
                <w:color w:val="auto"/>
              </w:rPr>
            </w:pPr>
            <w:r>
              <w:rPr>
                <w:rFonts w:ascii="Arial" w:cs="Arial" w:eastAsia="Arial" w:hAnsi="Arial"/>
                <w:sz w:val="18"/>
                <w:szCs w:val="18"/>
                <w:color w:val="auto"/>
              </w:rPr>
              <w:t>12,278,833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49,705,102</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(30,275,505)</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19,441,876</w:t>
            </w:r>
          </w:p>
        </w:tc>
        <w:tc>
          <w:tcPr>
            <w:tcW w:w="6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Public offering of common shares for cash, net of offering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1,769,275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21,302,057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21,303,826</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60,295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214,253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214,314</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8,336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135,035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135,043</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408,087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408,087</w:t>
            </w:r>
          </w:p>
        </w:tc>
        <w:tc>
          <w:tcPr>
            <w:tcW w:w="6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406,617</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406,617</w:t>
            </w:r>
          </w:p>
        </w:tc>
        <w:tc>
          <w:tcPr>
            <w:tcW w:w="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4620" w:type="dxa"/>
            <w:vAlign w:val="bottom"/>
          </w:tcPr>
          <w:p>
            <w:pPr>
              <w:spacing w:after="0"/>
              <w:rPr>
                <w:sz w:val="20"/>
                <w:szCs w:val="20"/>
                <w:color w:val="auto"/>
              </w:rPr>
            </w:pPr>
            <w:r>
              <w:rPr>
                <w:rFonts w:ascii="Arial" w:cs="Arial" w:eastAsia="Arial" w:hAnsi="Arial"/>
                <w:sz w:val="18"/>
                <w:szCs w:val="18"/>
                <w:color w:val="auto"/>
              </w:rPr>
              <w:t>Balance June 30, 2019</w:t>
            </w:r>
          </w:p>
        </w:tc>
        <w:tc>
          <w:tcPr>
            <w:tcW w:w="1140" w:type="dxa"/>
            <w:vAlign w:val="bottom"/>
          </w:tcPr>
          <w:p>
            <w:pPr>
              <w:jc w:val="right"/>
              <w:spacing w:after="0"/>
              <w:rPr>
                <w:sz w:val="20"/>
                <w:szCs w:val="20"/>
                <w:color w:val="auto"/>
              </w:rPr>
            </w:pPr>
            <w:r>
              <w:rPr>
                <w:rFonts w:ascii="Arial" w:cs="Arial" w:eastAsia="Arial" w:hAnsi="Arial"/>
                <w:sz w:val="18"/>
                <w:szCs w:val="18"/>
                <w:color w:val="auto"/>
              </w:rPr>
              <w:t>14,116,739</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14,117</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71,764,534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(29,868,888</w:t>
            </w:r>
            <w:r>
              <w:rPr>
                <w:rFonts w:ascii="Arial" w:cs="Arial" w:eastAsia="Arial" w:hAnsi="Arial"/>
                <w:sz w:val="35"/>
                <w:szCs w:val="35"/>
                <w:color w:val="auto"/>
                <w:w w:val="94"/>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41,909,763</w:t>
            </w:r>
          </w:p>
        </w:tc>
        <w:tc>
          <w:tcPr>
            <w:tcW w:w="60" w:type="dxa"/>
            <w:vAlign w:val="bottom"/>
          </w:tcPr>
          <w:p>
            <w:pPr>
              <w:spacing w:after="0"/>
              <w:rPr>
                <w:sz w:val="24"/>
                <w:szCs w:val="24"/>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jc w:val="center"/>
        <w:ind w:left="29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9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amortization, and non-cash lease expense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issued for board services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 for loss on accounts receivable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fair value of contingent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 and other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intangible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issuance of common stock, net of commission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Expenses related to issuance cost of common stock</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contingent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23" w:lineRule="exact"/>
        <w:rPr>
          <w:sz w:val="20"/>
          <w:szCs w:val="20"/>
          <w:color w:val="auto"/>
        </w:rPr>
      </w:pPr>
    </w:p>
    <w:p>
      <w:pPr>
        <w:ind w:right="3480"/>
        <w:spacing w:after="0" w:line="323" w:lineRule="auto"/>
        <w:rPr>
          <w:sz w:val="20"/>
          <w:szCs w:val="20"/>
          <w:color w:val="auto"/>
        </w:rPr>
      </w:pPr>
      <w:r>
        <w:rPr>
          <w:rFonts w:ascii="Arial" w:cs="Arial" w:eastAsia="Arial" w:hAnsi="Arial"/>
          <w:sz w:val="17"/>
          <w:szCs w:val="17"/>
          <w:color w:val="auto"/>
        </w:rPr>
        <w:t>CASH AND CASH EQUIVALENTS - BEGINNING OF PERIOD CASH AND CASH EQUIVALENTS - END OF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interest</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income taxes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 asset additions included in accounts payable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Non-cash effect of cumulative adjustments to accumulated deficit</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 liabilities arising from right of use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spacing w:after="0"/>
        <w:tabs>
          <w:tab w:leader="none" w:pos="320" w:val="left"/>
          <w:tab w:leader="none" w:pos="1320" w:val="left"/>
          <w:tab w:leader="none" w:pos="1840" w:val="left"/>
        </w:tabs>
        <w:rPr>
          <w:sz w:val="20"/>
          <w:szCs w:val="20"/>
          <w:color w:val="auto"/>
        </w:rPr>
      </w:pPr>
      <w:r>
        <w:rPr>
          <w:rFonts w:ascii="Arial" w:cs="Arial" w:eastAsia="Arial" w:hAnsi="Arial"/>
          <w:sz w:val="18"/>
          <w:szCs w:val="18"/>
          <w:color w:val="auto"/>
        </w:rPr>
        <w:t>$</w:t>
        <w:tab/>
        <w:t>(3,281,399)</w:t>
        <w:tab/>
        <w:t>$</w:t>
      </w:r>
      <w:r>
        <w:rPr>
          <w:sz w:val="20"/>
          <w:szCs w:val="20"/>
          <w:color w:val="auto"/>
        </w:rPr>
        <w:tab/>
      </w:r>
      <w:r>
        <w:rPr>
          <w:rFonts w:ascii="Arial" w:cs="Arial" w:eastAsia="Arial" w:hAnsi="Arial"/>
          <w:sz w:val="16"/>
          <w:szCs w:val="16"/>
          <w:color w:val="auto"/>
        </w:rPr>
        <w:t>413,146</w:t>
      </w:r>
    </w:p>
    <w:p>
      <w:pPr>
        <w:spacing w:after="0" w:line="225" w:lineRule="exact"/>
        <w:rPr>
          <w:sz w:val="20"/>
          <w:szCs w:val="20"/>
          <w:color w:val="auto"/>
        </w:rPr>
      </w:pPr>
    </w:p>
    <w:p>
      <w:pPr>
        <w:ind w:left="400"/>
        <w:spacing w:after="0"/>
        <w:tabs>
          <w:tab w:leader="none" w:pos="1840" w:val="left"/>
        </w:tabs>
        <w:rPr>
          <w:sz w:val="20"/>
          <w:szCs w:val="20"/>
          <w:color w:val="auto"/>
        </w:rPr>
      </w:pPr>
      <w:r>
        <w:rPr>
          <w:rFonts w:ascii="Arial" w:cs="Arial" w:eastAsia="Arial" w:hAnsi="Arial"/>
          <w:sz w:val="18"/>
          <w:szCs w:val="18"/>
          <w:color w:val="auto"/>
        </w:rPr>
        <w:t>1,040,463</w:t>
      </w:r>
      <w:r>
        <w:rPr>
          <w:sz w:val="20"/>
          <w:szCs w:val="20"/>
          <w:color w:val="auto"/>
        </w:rPr>
        <w:tab/>
      </w:r>
      <w:r>
        <w:rPr>
          <w:rFonts w:ascii="Arial" w:cs="Arial" w:eastAsia="Arial" w:hAnsi="Arial"/>
          <w:sz w:val="18"/>
          <w:szCs w:val="18"/>
          <w:color w:val="auto"/>
        </w:rPr>
        <w:t>425,873</w:t>
      </w:r>
    </w:p>
    <w:p>
      <w:pPr>
        <w:spacing w:after="0" w:line="23" w:lineRule="exact"/>
        <w:rPr>
          <w:sz w:val="20"/>
          <w:szCs w:val="20"/>
          <w:color w:val="auto"/>
        </w:rPr>
      </w:pPr>
    </w:p>
    <w:p>
      <w:pPr>
        <w:ind w:left="400"/>
        <w:spacing w:after="0"/>
        <w:tabs>
          <w:tab w:leader="none" w:pos="1840" w:val="left"/>
        </w:tabs>
        <w:rPr>
          <w:sz w:val="20"/>
          <w:szCs w:val="20"/>
          <w:color w:val="auto"/>
        </w:rPr>
      </w:pPr>
      <w:r>
        <w:rPr>
          <w:rFonts w:ascii="Arial" w:cs="Arial" w:eastAsia="Arial" w:hAnsi="Arial"/>
          <w:sz w:val="18"/>
          <w:szCs w:val="18"/>
          <w:color w:val="auto"/>
        </w:rPr>
        <w:t>1,435,156</w:t>
      </w:r>
      <w:r>
        <w:rPr>
          <w:sz w:val="20"/>
          <w:szCs w:val="20"/>
          <w:color w:val="auto"/>
        </w:rPr>
        <w:tab/>
      </w:r>
      <w:r>
        <w:rPr>
          <w:rFonts w:ascii="Arial" w:cs="Arial" w:eastAsia="Arial" w:hAnsi="Arial"/>
          <w:sz w:val="18"/>
          <w:szCs w:val="18"/>
          <w:color w:val="auto"/>
        </w:rPr>
        <w:t>938,399</w:t>
      </w:r>
    </w:p>
    <w:p>
      <w:pPr>
        <w:spacing w:after="0" w:line="9" w:lineRule="exact"/>
        <w:rPr>
          <w:sz w:val="20"/>
          <w:szCs w:val="20"/>
          <w:color w:val="auto"/>
        </w:rPr>
      </w:pPr>
    </w:p>
    <w:p>
      <w:pPr>
        <w:ind w:left="540"/>
        <w:spacing w:after="0"/>
        <w:tabs>
          <w:tab w:leader="none" w:pos="1840" w:val="left"/>
        </w:tabs>
        <w:rPr>
          <w:sz w:val="20"/>
          <w:szCs w:val="20"/>
          <w:color w:val="auto"/>
        </w:rPr>
      </w:pPr>
      <w:r>
        <w:rPr>
          <w:rFonts w:ascii="Arial" w:cs="Arial" w:eastAsia="Arial" w:hAnsi="Arial"/>
          <w:sz w:val="18"/>
          <w:szCs w:val="18"/>
          <w:color w:val="auto"/>
        </w:rPr>
        <w:t>200,027</w:t>
      </w:r>
      <w:r>
        <w:rPr>
          <w:sz w:val="20"/>
          <w:szCs w:val="20"/>
          <w:color w:val="auto"/>
        </w:rPr>
        <w:tab/>
      </w:r>
      <w:r>
        <w:rPr>
          <w:rFonts w:ascii="Arial" w:cs="Arial" w:eastAsia="Arial" w:hAnsi="Arial"/>
          <w:sz w:val="18"/>
          <w:szCs w:val="18"/>
          <w:color w:val="auto"/>
        </w:rPr>
        <w:t>241,077</w:t>
      </w:r>
    </w:p>
    <w:p>
      <w:pPr>
        <w:spacing w:after="0" w:line="9" w:lineRule="exact"/>
        <w:rPr>
          <w:sz w:val="20"/>
          <w:szCs w:val="20"/>
          <w:color w:val="auto"/>
        </w:rPr>
      </w:pPr>
    </w:p>
    <w:p>
      <w:pPr>
        <w:ind w:left="640"/>
        <w:spacing w:after="0"/>
        <w:tabs>
          <w:tab w:leader="none" w:pos="2380" w:val="left"/>
        </w:tabs>
        <w:rPr>
          <w:sz w:val="20"/>
          <w:szCs w:val="20"/>
          <w:color w:val="auto"/>
        </w:rPr>
      </w:pPr>
      <w:r>
        <w:rPr>
          <w:rFonts w:ascii="Arial" w:cs="Arial" w:eastAsia="Arial" w:hAnsi="Arial"/>
          <w:sz w:val="18"/>
          <w:szCs w:val="18"/>
          <w:color w:val="auto"/>
        </w:rPr>
        <w:t>40,000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30,000</w:t>
      </w:r>
      <w:r>
        <w:rPr>
          <w:sz w:val="20"/>
          <w:szCs w:val="20"/>
          <w:color w:val="auto"/>
        </w:rPr>
        <w:tab/>
      </w:r>
      <w:r>
        <w:rPr>
          <w:rFonts w:ascii="Arial" w:cs="Arial" w:eastAsia="Arial" w:hAnsi="Arial"/>
          <w:sz w:val="18"/>
          <w:szCs w:val="18"/>
          <w:color w:val="auto"/>
        </w:rPr>
        <w:t>255,000</w:t>
      </w:r>
    </w:p>
    <w:p>
      <w:pPr>
        <w:spacing w:after="0" w:line="211"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auto"/>
        </w:rPr>
        <w:t>(3.427,166)</w:t>
      </w:r>
      <w:r>
        <w:rPr>
          <w:sz w:val="20"/>
          <w:szCs w:val="20"/>
          <w:color w:val="auto"/>
        </w:rPr>
        <w:tab/>
      </w:r>
      <w:r>
        <w:rPr>
          <w:rFonts w:ascii="Arial" w:cs="Arial" w:eastAsia="Arial" w:hAnsi="Arial"/>
          <w:sz w:val="16"/>
          <w:szCs w:val="16"/>
          <w:color w:val="auto"/>
        </w:rPr>
        <w:t>(966,658)</w:t>
      </w:r>
    </w:p>
    <w:p>
      <w:pPr>
        <w:spacing w:after="0" w:line="23" w:lineRule="exact"/>
        <w:rPr>
          <w:sz w:val="20"/>
          <w:szCs w:val="20"/>
          <w:color w:val="auto"/>
        </w:rPr>
      </w:pPr>
    </w:p>
    <w:p>
      <w:pPr>
        <w:jc w:val="both"/>
        <w:ind w:left="340"/>
        <w:spacing w:after="0"/>
        <w:tabs>
          <w:tab w:leader="none" w:pos="1780" w:val="left"/>
        </w:tabs>
        <w:rPr>
          <w:sz w:val="20"/>
          <w:szCs w:val="20"/>
          <w:color w:val="auto"/>
        </w:rPr>
      </w:pPr>
      <w:r>
        <w:rPr>
          <w:rFonts w:ascii="Arial" w:cs="Arial" w:eastAsia="Arial" w:hAnsi="Arial"/>
          <w:sz w:val="18"/>
          <w:szCs w:val="18"/>
          <w:color w:val="auto"/>
        </w:rPr>
        <w:t>(1,785,422)</w:t>
      </w:r>
      <w:r>
        <w:rPr>
          <w:sz w:val="20"/>
          <w:szCs w:val="20"/>
          <w:color w:val="auto"/>
        </w:rPr>
        <w:tab/>
      </w:r>
      <w:r>
        <w:rPr>
          <w:rFonts w:ascii="Arial" w:cs="Arial" w:eastAsia="Arial" w:hAnsi="Arial"/>
          <w:sz w:val="18"/>
          <w:szCs w:val="18"/>
          <w:color w:val="auto"/>
        </w:rPr>
        <w:t>(202,036)</w:t>
      </w:r>
    </w:p>
    <w:p>
      <w:pPr>
        <w:spacing w:after="0" w:line="9" w:lineRule="exact"/>
        <w:rPr>
          <w:sz w:val="20"/>
          <w:szCs w:val="20"/>
          <w:color w:val="auto"/>
        </w:rPr>
      </w:pPr>
    </w:p>
    <w:p>
      <w:pPr>
        <w:ind w:left="720"/>
        <w:spacing w:after="0"/>
        <w:tabs>
          <w:tab w:leader="none" w:pos="2160" w:val="left"/>
        </w:tabs>
        <w:rPr>
          <w:sz w:val="20"/>
          <w:szCs w:val="20"/>
          <w:color w:val="auto"/>
        </w:rPr>
      </w:pPr>
      <w:r>
        <w:rPr>
          <w:rFonts w:ascii="Arial" w:cs="Arial" w:eastAsia="Arial" w:hAnsi="Arial"/>
          <w:sz w:val="18"/>
          <w:szCs w:val="18"/>
          <w:color w:val="auto"/>
        </w:rPr>
        <w:t>3,747</w:t>
      </w:r>
      <w:r>
        <w:rPr>
          <w:sz w:val="20"/>
          <w:szCs w:val="20"/>
          <w:color w:val="auto"/>
        </w:rPr>
        <w:tab/>
      </w:r>
      <w:r>
        <w:rPr>
          <w:rFonts w:ascii="Arial" w:cs="Arial" w:eastAsia="Arial" w:hAnsi="Arial"/>
          <w:sz w:val="18"/>
          <w:szCs w:val="18"/>
          <w:color w:val="auto"/>
        </w:rPr>
        <w:t>785</w:t>
      </w:r>
    </w:p>
    <w:p>
      <w:pPr>
        <w:spacing w:after="0" w:line="9" w:lineRule="exact"/>
        <w:rPr>
          <w:sz w:val="20"/>
          <w:szCs w:val="20"/>
          <w:color w:val="auto"/>
        </w:rPr>
      </w:pPr>
    </w:p>
    <w:p>
      <w:pPr>
        <w:ind w:left="400"/>
        <w:spacing w:after="0"/>
        <w:tabs>
          <w:tab w:leader="none" w:pos="1940" w:val="left"/>
        </w:tabs>
        <w:rPr>
          <w:sz w:val="20"/>
          <w:szCs w:val="20"/>
          <w:color w:val="auto"/>
        </w:rPr>
      </w:pPr>
      <w:r>
        <w:rPr>
          <w:rFonts w:ascii="Arial" w:cs="Arial" w:eastAsia="Arial" w:hAnsi="Arial"/>
          <w:sz w:val="18"/>
          <w:szCs w:val="18"/>
          <w:color w:val="auto"/>
        </w:rPr>
        <w:t>1,878,051</w:t>
      </w:r>
      <w:r>
        <w:rPr>
          <w:sz w:val="20"/>
          <w:szCs w:val="20"/>
          <w:color w:val="auto"/>
        </w:rPr>
        <w:tab/>
      </w:r>
      <w:r>
        <w:rPr>
          <w:rFonts w:ascii="Arial" w:cs="Arial" w:eastAsia="Arial" w:hAnsi="Arial"/>
          <w:sz w:val="18"/>
          <w:szCs w:val="18"/>
          <w:color w:val="auto"/>
        </w:rPr>
        <w:t>55,824</w:t>
      </w:r>
    </w:p>
    <w:p>
      <w:pPr>
        <w:spacing w:after="0" w:line="9" w:lineRule="exact"/>
        <w:rPr>
          <w:sz w:val="20"/>
          <w:szCs w:val="20"/>
          <w:color w:val="auto"/>
        </w:rPr>
      </w:pPr>
    </w:p>
    <w:p>
      <w:pPr>
        <w:jc w:val="both"/>
        <w:ind w:left="540"/>
        <w:spacing w:after="0"/>
        <w:tabs>
          <w:tab w:leader="none" w:pos="1800" w:val="left"/>
        </w:tabs>
        <w:rPr>
          <w:sz w:val="20"/>
          <w:szCs w:val="20"/>
          <w:color w:val="auto"/>
        </w:rPr>
      </w:pPr>
      <w:r>
        <w:rPr>
          <w:rFonts w:ascii="Arial" w:cs="Arial" w:eastAsia="Arial" w:hAnsi="Arial"/>
          <w:sz w:val="18"/>
          <w:szCs w:val="18"/>
          <w:color w:val="auto"/>
        </w:rPr>
        <w:t>186,682</w:t>
      </w:r>
      <w:r>
        <w:rPr>
          <w:sz w:val="20"/>
          <w:szCs w:val="20"/>
          <w:color w:val="auto"/>
        </w:rPr>
        <w:tab/>
      </w:r>
      <w:r>
        <w:rPr>
          <w:rFonts w:ascii="Arial" w:cs="Arial" w:eastAsia="Arial" w:hAnsi="Arial"/>
          <w:sz w:val="18"/>
          <w:szCs w:val="18"/>
          <w:color w:val="auto"/>
        </w:rPr>
        <w:t>(511,976)</w:t>
      </w:r>
    </w:p>
    <w:p>
      <w:pPr>
        <w:spacing w:after="0" w:line="9"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68,678</w:t>
      </w:r>
      <w:r>
        <w:rPr>
          <w:sz w:val="20"/>
          <w:szCs w:val="20"/>
          <w:color w:val="auto"/>
        </w:rPr>
        <w:tab/>
      </w:r>
      <w:r>
        <w:rPr>
          <w:rFonts w:ascii="Arial" w:cs="Arial" w:eastAsia="Arial" w:hAnsi="Arial"/>
          <w:sz w:val="18"/>
          <w:szCs w:val="18"/>
          <w:color w:val="auto"/>
        </w:rPr>
        <w:t>158,766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color w:val="auto"/>
        </w:rPr>
        <w:t>(3,611,183)</w:t>
      </w:r>
      <w:r>
        <w:rPr>
          <w:sz w:val="20"/>
          <w:szCs w:val="20"/>
          <w:color w:val="auto"/>
        </w:rPr>
        <w:tab/>
      </w:r>
      <w:r>
        <w:rPr>
          <w:rFonts w:ascii="Arial" w:cs="Arial" w:eastAsia="Arial" w:hAnsi="Arial"/>
          <w:sz w:val="16"/>
          <w:szCs w:val="16"/>
          <w:color w:val="auto"/>
        </w:rPr>
        <w:t>808,200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580"/>
        <w:spacing w:after="0"/>
        <w:tabs>
          <w:tab w:leader="none" w:pos="1880" w:val="left"/>
        </w:tabs>
        <w:rPr>
          <w:sz w:val="20"/>
          <w:szCs w:val="20"/>
          <w:color w:val="auto"/>
        </w:rPr>
      </w:pPr>
      <w:r>
        <w:rPr>
          <w:rFonts w:ascii="Arial" w:cs="Arial" w:eastAsia="Arial" w:hAnsi="Arial"/>
          <w:sz w:val="18"/>
          <w:szCs w:val="18"/>
          <w:color w:val="auto"/>
        </w:rPr>
        <w:t>(24,998)</w:t>
      </w:r>
      <w:r>
        <w:rPr>
          <w:sz w:val="20"/>
          <w:szCs w:val="20"/>
          <w:color w:val="auto"/>
        </w:rPr>
        <w:tab/>
      </w:r>
      <w:r>
        <w:rPr>
          <w:rFonts w:ascii="Arial" w:cs="Arial" w:eastAsia="Arial" w:hAnsi="Arial"/>
          <w:sz w:val="18"/>
          <w:szCs w:val="18"/>
          <w:color w:val="auto"/>
        </w:rPr>
        <w:t>(47,739)</w:t>
      </w:r>
    </w:p>
    <w:p>
      <w:pPr>
        <w:spacing w:after="0" w:line="23" w:lineRule="exact"/>
        <w:rPr>
          <w:sz w:val="20"/>
          <w:szCs w:val="20"/>
          <w:color w:val="auto"/>
        </w:rPr>
      </w:pPr>
    </w:p>
    <w:p>
      <w:pPr>
        <w:ind w:left="1680" w:hanging="611"/>
        <w:spacing w:after="0"/>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(1,000,000)</w:t>
      </w:r>
    </w:p>
    <w:p>
      <w:pPr>
        <w:spacing w:after="0" w:line="4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(24,998)</w:t>
      </w:r>
      <w:r>
        <w:rPr>
          <w:rFonts w:ascii="Arial" w:cs="Arial" w:eastAsia="Arial" w:hAnsi="Arial"/>
          <w:sz w:val="16"/>
          <w:szCs w:val="16"/>
          <w:color w:val="auto"/>
        </w:rPr>
        <w:t>(1,047,739)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15601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-130810</wp:posOffset>
            </wp:positionV>
            <wp:extent cx="15601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7"/>
          <w:szCs w:val="17"/>
          <w:color w:val="auto"/>
        </w:rPr>
        <w:t>286,983</w:t>
      </w:r>
      <w:r>
        <w:rPr>
          <w:sz w:val="20"/>
          <w:szCs w:val="20"/>
          <w:color w:val="auto"/>
        </w:rPr>
        <w:tab/>
      </w:r>
      <w:r>
        <w:rPr>
          <w:rFonts w:ascii="Arial" w:cs="Arial" w:eastAsia="Arial" w:hAnsi="Arial"/>
          <w:sz w:val="17"/>
          <w:szCs w:val="17"/>
          <w:color w:val="auto"/>
        </w:rPr>
        <w:t>22,163,636</w:t>
      </w:r>
    </w:p>
    <w:p>
      <w:pPr>
        <w:spacing w:after="0" w:line="35" w:lineRule="exact"/>
        <w:rPr>
          <w:sz w:val="20"/>
          <w:szCs w:val="20"/>
          <w:color w:val="auto"/>
        </w:rPr>
      </w:pPr>
    </w:p>
    <w:p>
      <w:pPr>
        <w:ind w:left="1820" w:hanging="751"/>
        <w:spacing w:after="0"/>
        <w:tabs>
          <w:tab w:leader="none" w:pos="1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(301,711)</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(1,389,188)-</w:t>
      </w:r>
    </w:p>
    <w:p>
      <w:pPr>
        <w:spacing w:after="0" w:line="2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(1,102,205)</w:t>
      </w:r>
      <w:r>
        <w:rPr>
          <w:rFonts w:ascii="Arial" w:cs="Arial" w:eastAsia="Arial" w:hAnsi="Arial"/>
          <w:sz w:val="16"/>
          <w:szCs w:val="16"/>
          <w:color w:val="auto"/>
        </w:rPr>
        <w:t>21,861,925</w:t>
      </w:r>
    </w:p>
    <w:p>
      <w:pPr>
        <w:spacing w:after="0" w:line="4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(4,738,386)</w:t>
      </w:r>
      <w:r>
        <w:rPr>
          <w:rFonts w:ascii="Arial" w:cs="Arial" w:eastAsia="Arial" w:hAnsi="Arial"/>
          <w:sz w:val="16"/>
          <w:szCs w:val="16"/>
          <w:color w:val="auto"/>
        </w:rPr>
        <w:t>21,622,386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15601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195"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-293370</wp:posOffset>
            </wp:positionV>
            <wp:extent cx="15601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1720" w:val="left"/>
        </w:tabs>
        <w:rPr>
          <w:sz w:val="20"/>
          <w:szCs w:val="20"/>
          <w:color w:val="auto"/>
        </w:rPr>
      </w:pPr>
      <w:r>
        <w:rPr>
          <w:rFonts w:ascii="Arial" w:cs="Arial" w:eastAsia="Arial" w:hAnsi="Arial"/>
          <w:sz w:val="17"/>
          <w:szCs w:val="17"/>
          <w:color w:val="auto"/>
        </w:rPr>
        <w:t>18,852,680</w:t>
      </w:r>
      <w:r>
        <w:rPr>
          <w:sz w:val="20"/>
          <w:szCs w:val="20"/>
          <w:color w:val="auto"/>
        </w:rPr>
        <w:tab/>
      </w:r>
      <w:r>
        <w:rPr>
          <w:rFonts w:ascii="Arial" w:cs="Arial" w:eastAsia="Arial" w:hAnsi="Arial"/>
          <w:sz w:val="17"/>
          <w:szCs w:val="17"/>
          <w:color w:val="auto"/>
        </w:rPr>
        <w:t>8,914,034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15601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54" w:lineRule="exact"/>
        <w:rPr>
          <w:sz w:val="20"/>
          <w:szCs w:val="20"/>
          <w:color w:val="auto"/>
        </w:rPr>
      </w:pPr>
    </w:p>
    <w:p>
      <w:pPr>
        <w:spacing w:after="0"/>
        <w:tabs>
          <w:tab w:leader="none" w:pos="300" w:val="left"/>
          <w:tab w:leader="none" w:pos="1320" w:val="left"/>
          <w:tab w:leader="none" w:pos="1620" w:val="left"/>
        </w:tabs>
        <w:rPr>
          <w:sz w:val="20"/>
          <w:szCs w:val="20"/>
          <w:color w:val="auto"/>
        </w:rPr>
      </w:pPr>
      <w:r>
        <w:rPr>
          <w:rFonts w:ascii="Arial" w:cs="Arial" w:eastAsia="Arial" w:hAnsi="Arial"/>
          <w:sz w:val="18"/>
          <w:szCs w:val="18"/>
          <w:u w:val="single" w:color="auto"/>
          <w:color w:val="auto"/>
        </w:rPr>
        <w:t>$</w:t>
        <w:tab/>
        <w:t>14,114,294</w:t>
        <w:tab/>
        <w:t>$</w:t>
      </w:r>
      <w:r>
        <w:rPr>
          <w:sz w:val="20"/>
          <w:szCs w:val="20"/>
          <w:color w:val="auto"/>
        </w:rPr>
        <w:tab/>
      </w:r>
      <w:r>
        <w:rPr>
          <w:rFonts w:ascii="Arial" w:cs="Arial" w:eastAsia="Arial" w:hAnsi="Arial"/>
          <w:sz w:val="16"/>
          <w:szCs w:val="16"/>
          <w:u w:val="single" w:color="auto"/>
          <w:color w:val="auto"/>
        </w:rPr>
        <w:t>30,536,420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5601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5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gridSpan w:val="2"/>
          </w:tcPr>
          <w:p>
            <w:pPr>
              <w:spacing w:after="0" w:line="20" w:lineRule="exact"/>
              <w:rPr>
                <w:sz w:val="1"/>
                <w:szCs w:val="1"/>
                <w:color w:val="auto"/>
              </w:rPr>
            </w:pPr>
          </w:p>
        </w:tc>
      </w:tr>
      <w:tr>
        <w:trPr>
          <w:trHeight w:val="223"/>
        </w:trPr>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23"/>
        </w:trPr>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Borders>
              <w:bottom w:val="single" w:sz="8" w:color="auto"/>
            </w:tcBorders>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23"/>
        </w:trPr>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20" w:type="dxa"/>
            <w:vAlign w:val="bottom"/>
            <w:tcBorders>
              <w:bottom w:val="single" w:sz="8" w:color="auto"/>
            </w:tcBorders>
          </w:tcPr>
          <w:p>
            <w:pPr>
              <w:spacing w:after="0"/>
              <w:rPr>
                <w:sz w:val="19"/>
                <w:szCs w:val="19"/>
                <w:color w:val="auto"/>
              </w:rPr>
            </w:pPr>
          </w:p>
        </w:tc>
      </w:tr>
      <w:tr>
        <w:trPr>
          <w:trHeight w:val="21"/>
        </w:trPr>
        <w:tc>
          <w:tcPr>
            <w:tcW w:w="5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23"/>
        </w:trPr>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672,809</w:t>
            </w:r>
          </w:p>
        </w:tc>
        <w:tc>
          <w:tcPr>
            <w:tcW w:w="20" w:type="dxa"/>
            <w:vAlign w:val="bottom"/>
            <w:tcBorders>
              <w:bottom w:val="single" w:sz="8" w:color="auto"/>
            </w:tcBorders>
          </w:tcPr>
          <w:p>
            <w:pPr>
              <w:spacing w:after="0"/>
              <w:rPr>
                <w:sz w:val="19"/>
                <w:szCs w:val="19"/>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360"/>
            <w:col w:w="2520"/>
          </w:cols>
          <w:pgMar w:left="320" w:top="904" w:right="37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services within their workflow at the point of care.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condensed consolidated financial statements for the three and six months ended June 30, 2020 and 2019 are unaudited and have been prepared pursuant to the rules and regulations of the U.S. Securities and Exchange Commission (“SEC”). In the opinion of management, all adjustments necessary to present fairly our consolidated financial position as of June 30, 2020, and our results of operations, changes in stockholders’ equity for the three and six months ended June 30, 2020 and 2019 and the statements of cash flows for the six months ended June 30, 2020 and 2019 have been made. Those adjustments consist of normal and recurring adjustments. The condensed consolidated balance sheet as of December 31, 2019 has been derived from the audited consolidated balance sheet as of that date.</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Certain information and note disclosures, including a detailed discussion about the Company’s significant accounting policies, normally included in our annual financial statements prepared in accordance with generally accepted accounting principles (“GAAP”) have been condensed or omitted. These consolidated condensed financial statements should be read in conjunction with a reading of the financial statements and notes thereto included in our Annual Report on Form 10-K for the fiscal year ended December 31, 2019, as filed with the U.S. Securities and Exchange Commission on March 26, 2020.</w:t>
      </w:r>
    </w:p>
    <w:p>
      <w:pPr>
        <w:spacing w:after="0" w:line="15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We operate in one reportable segment. The results of operations for the three and six months ended June 30, 2020 are not necessarily indicative of the results to be expected for the full year. Certain reclassifications have been made in the prior period’s condensed consolidated financial statements to conform to the current period’s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that requires measurement and recognition of expected credit losses for most financial assets and certain other instruments, including but not limited to accounts receivable and available for sale debt securities. ASU 2016-13 was effective for the Company on January 1, 2020. The adoption of this standard did not have a material effect on our financial position, results of operations, or cash flows.</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August 2019, the FASB issued ASU 2018-13, Fair Value Measurement (Topic 820): Disclosure Framework-Changes to the Disclosure Requirements for Fair Value Measurement. ASU 2018-13 modifies the disclosure requirements on fair value measurements and became effective for the Company on January 1, 2020. The adoption of this standard did not have a material effect on our financial position, results of operations, or cash flows.</w:t>
      </w: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 (continued)</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adoption of this standard did not have a material effect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12, 2020, with early adoption permitted. The adoption of this standard is not expected to have a material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3 – LEASES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operating leases for office space in three multitenant facilities with lease terms greater than 12 months, which are recorded as assets and liabilities on our balance sheet. These leases include our corporate headquarters, located in Rochester, Michigan, a customer service facility in Cranbury, New Jersey, and a technical facility in Zagreb, Croatia. Certain leases contain renewal options and, for the headquarters lease, we have assumed renewal. 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in shared office space facilities, such as WeWork, or similar locations.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six months ended June 30, 2020, the Company’s lease cost consisted of the following components, each of which is included in operating expenses within the Company’s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32,814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65,627</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Short-term lease cost (1)</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36,186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80,815</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146,442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Short-term lease cost includes any lease with a term of less than 12 months.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LEASES (continued)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and six months ended June 30, 2019, the Company’s lease cost consisted of the following components, each of which is included in operating expenses within the Company’s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32,591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64,175</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Short-term lease cost (1)</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18,892</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42,542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83,067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(1)  Short-term lease cost includes any lease with a term of less than 12 months.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table below presents the future minimum lease payments to be made under operating leases as of June 30,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June 30, 2020</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2020(a)</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69,119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102,367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80,375</w:t>
            </w: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561,661</w:t>
            </w: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54,495</w:t>
            </w: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lease liabilities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507,166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For the six-month period beginning July 1, 2020.</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weighted average remaining lease term at June 30, 2020 for operating leases is 4.7 years and the weighted average discount rate used in calculating the operating lease asset and liability is 4.5%. Cash paid for amounts included in the measurement of lease liabilities was $57,019 and $64,175 for the six months ending June 30, 2020 and 2019, respectively. For the six months ended June 30, 2020 and 2019, payments on lease obligations were $68,900 and $51,937, respectively, and amortization on the right of use assets was $56,357 and $52,592,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4 – STOCKHOLDERS’ EQUITY</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quarters ended June 30, 2020, and March 31, 2020 we issued 55,731 shares and 35,032 shares of our common stock, respectively, and received proceeds of $174,775 and $112,117, respectively, in connection with the exercise of stock options under our 2013 equity compensation plan.</w:t>
      </w:r>
    </w:p>
    <w:p>
      <w:pPr>
        <w:spacing w:after="0" w:line="12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quarters ended June 30, 2019 and March 31, 2019, we issued 60,295 shares and 101,878 shares of our common stock, respectively, and received proceeds of $214,314 and $343,785, respectively, in connection with the exercise of stock options under our 2013 equity compensation plan. We also issued 130,001 shares of our common stock in the quarter ended March 31, 2019 in connection with restricted stock awards awarded in 2018.</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STOCKHOLDERS’ EQUITY (continued)</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also issued 42,374 shares in the six months ended June 30, 2020 in connection with restricted stock awards as described in more detail in Note 5 – Stock Based Compensation.</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Director Compensation Plan calls for issuance of shares of common stock each quarter to each independent director. In 2020, we issued 11,136 shares valued at $100,000 in the quarter ended March 31, 2020 and 7,748 shares valued at $100,027 in the quarter ended June 30, 2020. In 2019, we issued 8,336 shares each quarter, valued at $106,834 and $135,043 for the quarters ended March 31, and June 30, respectively.</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quarter ended June 30, 2019, in an underwritten primary offering, we issued 1,769,275 shares of our common stock for gross proceeds of $23,000,575. In connection with this transaction, we incurred equity issuance costs of $1,696,749 related to payments to the underwriter, advisors and legal fees associated with the transaction, resulting in net proceeds to the Company of $21,303,826.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5 – STOCK BASED COMPENSATION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use the fair value method to account for stock-based compensation. We recorded $1,021,787 and $907,109 in compensation expense in the six months ended June 30, 2020 and 2019, respectively, related to options issued under our stock-based incentive compensation plan. This includes expense related to options issued in prior years for which the requisite service period for those options includes the current period as well as options issued in the current period. The fair value of these instruments was calculated using the Black-Scholes option pricing model. There is $1,867,549 of remaining expense related to unvested options to be recognized in the future over a weighted average remaining period of approximately 1.3 years. The total intrinsic value of outstanding options at June 30, 2020 was $12,281,047.</w:t>
      </w:r>
    </w:p>
    <w:p>
      <w:pPr>
        <w:spacing w:after="0" w:line="19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also recorded expense related to restricted stock awards of $413,369 and $31,290 for the six months ended June 30, 2020 and 2019, respectively. As of June 30, 2020, there was $1,039,157 of remaining expense related to unvested restricted stock awards to be recognized in the future related to 132,374 shares of restricted stock awards that were unvested at June 30, 2020. A total of 42,374 shares related to these restricted stock awards vested in 2020 and were issued during the six months ended June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6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legal proceedings.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EARNINGS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26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line="271" w:lineRule="exact"/>
              <w:rPr>
                <w:sz w:val="20"/>
                <w:szCs w:val="20"/>
                <w:color w:val="auto"/>
              </w:rPr>
            </w:pPr>
            <w:r>
              <w:rPr>
                <w:rFonts w:ascii="Arial" w:cs="Arial" w:eastAsia="Arial" w:hAnsi="Arial"/>
                <w:sz w:val="17"/>
                <w:szCs w:val="17"/>
                <w:color w:val="auto"/>
              </w:rPr>
              <w:t>(1,077,468</w:t>
            </w:r>
            <w:r>
              <w:rPr>
                <w:rFonts w:ascii="Arial" w:cs="Arial" w:eastAsia="Arial" w:hAnsi="Arial"/>
                <w:sz w:val="31"/>
                <w:szCs w:val="31"/>
                <w:color w:val="auto"/>
                <w:vertAlign w:val="superscript"/>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406,617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(3,281,399</w:t>
            </w:r>
            <w:r>
              <w:rPr>
                <w:rFonts w:ascii="Arial" w:cs="Arial" w:eastAsia="Arial" w:hAnsi="Arial"/>
                <w:sz w:val="31"/>
                <w:szCs w:val="31"/>
                <w:color w:val="auto"/>
                <w:vertAlign w:val="super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413,146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7"/>
              </w:rPr>
              <w:t>Weighted average shares outstanding used in computing earnings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14,667,216</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12,743,379</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14,638,359</w:t>
            </w: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12,412,442</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w w:val="92"/>
              </w:rPr>
              <w:t>Effect of dilutive stock options, warrants, and unvested restricted stock awards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1,063,382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14,667,216</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13,806,761</w:t>
            </w:r>
          </w:p>
        </w:tc>
        <w:tc>
          <w:tcPr>
            <w:tcW w:w="20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14,638,359</w:t>
            </w:r>
          </w:p>
        </w:tc>
        <w:tc>
          <w:tcPr>
            <w:tcW w:w="2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13,467,562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line="271" w:lineRule="exact"/>
              <w:rPr>
                <w:sz w:val="20"/>
                <w:szCs w:val="20"/>
                <w:color w:val="auto"/>
              </w:rPr>
            </w:pPr>
            <w:r>
              <w:rPr>
                <w:rFonts w:ascii="Arial" w:cs="Arial" w:eastAsia="Arial" w:hAnsi="Arial"/>
                <w:sz w:val="17"/>
                <w:szCs w:val="17"/>
                <w:color w:val="auto"/>
              </w:rPr>
              <w:t>(0.07</w:t>
            </w:r>
            <w:r>
              <w:rPr>
                <w:rFonts w:ascii="Arial" w:cs="Arial" w:eastAsia="Arial" w:hAnsi="Arial"/>
                <w:sz w:val="31"/>
                <w:szCs w:val="31"/>
                <w:color w:val="auto"/>
                <w:vertAlign w:val="superscript"/>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(0.22</w:t>
            </w:r>
            <w:r>
              <w:rPr>
                <w:rFonts w:ascii="Arial" w:cs="Arial" w:eastAsia="Arial" w:hAnsi="Arial"/>
                <w:sz w:val="31"/>
                <w:szCs w:val="31"/>
                <w:color w:val="auto"/>
                <w:vertAlign w:val="super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2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calculation of diluted earnings per share is included for 2020 as the effect of the calculation would be antidilutive. The number of common shares potentially issuable upon the exercise of certain options that were excluded from the diluted loss per common share calculation in 2020 was 826,777 and 782,575 shares in the three and six months ended June 30, 2020, respectively, related to options, and 132,374 shares related to restricted stock for the three and six months ended June 30, 2020. This results in total shares excluded from the calculation of 959,151 and 914,949 for the three and six month periods ended June 30, 2020,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8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July 2020, we received proceeds of $193,768 and issued 64,261 shares of common stock in conjunction with the exercise of stock options.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we have analyzed events and transactions that occurred subsequent to June 30, 2020 through the date these financial statements were issued and have determined that we do not have any other material subsequent events to disclose or recognize in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cybersecurity,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full extent of the impact of the COVID-19 pandemic on our business, operations and financial results will depend on numerous evolving factors that we may not be able to accurately predict at the present time. In an effort to contain COVID-19 or slow its spread, governments around the world have enacted various measures, including orders to close all businesses not deemed “essential,” isolate residents to their homes or places of residence, and practice social distancing when engaging in essential activities. We anticipate that these actions and the global health crisis caused by COVID-19 will negatively impact business activity across the globe. While we have not observed any noticeable impact on our revenue related to these conditions in the recently completed fiscal quarter, or through the date of this filing, we cannot estimate the impact COVID-19 will have in the future as business and consumer activity decelerates across the globe.</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March 2020, we enacted precautionary measures to protect the health and safety of our employees and partners. These measures include closing all offices, having employees work from home, and eliminating all travel. While having employees work from home may have a negative impact on efficiency and may result in negligible increases in costs, it does not impact our ability to execute on our contracts or deliver our core services. Our offices remain closed and we continue to prohibit travel through the date of this filing and expect to continue operating in this fashion for the foreseeable future. Our customers provide essential services in the healthcare industry and we believe that our digital communication technology is more important than ever in this environment. However, our revenue often comes from advertising or marketing budgets, and in a sustained economic downturn, those categories of spending may be cut.</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continue to actively monitor the situation and may take further actions that alter our business operations as may be required by federal, state, local or foreign authorities, or that we determine are in the best interests of our employees, customers, partners and stockholders. It is not clear what the potential effects any such alterations or modifications may have on our business, including the effects on our customers, partners, or vendors, or on our financial results.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Company Highlights through July 2020</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was a record $8.8 million in the second quarter of 2020, up 25% versus the same year-ago quarter.</w:t>
      </w:r>
    </w:p>
    <w:p>
      <w:pPr>
        <w:spacing w:after="0" w:line="225" w:lineRule="exact"/>
        <w:rPr>
          <w:rFonts w:ascii="Arial" w:cs="Arial" w:eastAsia="Arial" w:hAnsi="Arial"/>
          <w:sz w:val="18"/>
          <w:szCs w:val="18"/>
          <w:color w:val="auto"/>
        </w:rPr>
      </w:pPr>
    </w:p>
    <w:p>
      <w:pPr>
        <w:ind w:left="660" w:right="2280" w:hanging="652"/>
        <w:spacing w:after="0" w:line="56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Revenues for the six months ended June 30, 2020 was $16.4 million, a 34% increase over the same period in 2019. Gross profit was $5.1 million in the second quarter of 2020, up 19% as compared to the same year-ago quarter.</w:t>
      </w:r>
    </w:p>
    <w:p>
      <w:pPr>
        <w:ind w:left="660" w:right="48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Finalized an agreement with a partner with a large Epic and Cerner footprint, bringing access to additional healthcare providers in a hospital setting.</w:t>
      </w:r>
    </w:p>
    <w:p>
      <w:pPr>
        <w:spacing w:after="0" w:line="170"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launched a new technology solution aimed at increasing speed to therapy for patients by providing timely access to enrollment forms for specialty drugs within the provider workflow and we already have three active programs.</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Launched TelaRep™, a digital health tool that enables physicians to connect to pharmaceutical sales representatives via on-demand video consults within a physician’s existing EHR workflow.</w:t>
      </w:r>
    </w:p>
    <w:p>
      <w:pPr>
        <w:spacing w:after="0" w:line="170"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focused on the process of converting our active clients to enterprise contracts covering multiple brands and products to further entrench our longstanding relationships.</w:t>
      </w:r>
    </w:p>
    <w:p>
      <w:pPr>
        <w:spacing w:after="0" w:line="170" w:lineRule="exact"/>
        <w:rPr>
          <w:rFonts w:ascii="Arial" w:cs="Arial" w:eastAsia="Arial" w:hAnsi="Arial"/>
          <w:sz w:val="18"/>
          <w:szCs w:val="18"/>
          <w:color w:val="auto"/>
        </w:rPr>
      </w:pPr>
    </w:p>
    <w:p>
      <w:pPr>
        <w:ind w:left="660" w:right="280" w:hanging="652"/>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expanded our Board of Directors, adding Greg Wasson, former President and CEO of Walgreens Boots Alliance, and a veteran of the retail pharmacy industry and a valuable and timely addition to our board as we look to enhance patient connectivity at the point-of-dispense.</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success in acquiring, integrating and expanding into new EHR/eRx platforms continues to grow as well. For the remainder of 2020, we expect to expand our reach to physicians, pharmacies and patients, and also increase the utilization of our existing partners as they improve their workflow and provider reach. With the growth of both our pharmaceutical products and our distribution network, we expect that our messaging solutions, as well as our patient engagement activities, will continue to increase and show strong growth throughout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total revenue reported for the three months ended June 30, 2020 was approximately $8.8 million, an increase of 25% over the approximately $7.0 million from the same period in 2019. Our total revenue for the six months ended June 30, 2020 was approximately $16.4 million, an increase of 34% over the approximately $12.2 million from the same period in 2019. The increased revenue in both periods resulted primarily from increases in sales in our messaging products and patient engagement products, including from our acquisition of RMDY Health in 2019. We do not breakout revenue by service at this stage, but as we achieve greater scale we plan to determine the best way to present the growth by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cost of revenue percentage, comprised primarily of revenue share expense, increased as a percentage of revenues in both the three and six month periods ended June 30, 2020, as compared to the same periods in 2019, as set forth in the table below. This increase was a result of product mix. Both 2019 periods contained an unusually high percentage of launch assistance services and other nonrecurring revenue that was not subject to revenue share expense. As we have previously discussed, we expect our cost of revenues to normalize at 40.0% or lower for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140" w:type="dxa"/>
            <w:vAlign w:val="bottom"/>
            <w:gridSpan w:val="4"/>
          </w:tcPr>
          <w:p>
            <w:pPr>
              <w:ind w:left="400"/>
              <w:spacing w:after="0"/>
              <w:rPr>
                <w:sz w:val="20"/>
                <w:szCs w:val="20"/>
                <w:color w:val="auto"/>
              </w:rPr>
            </w:pPr>
            <w:r>
              <w:rPr>
                <w:rFonts w:ascii="Arial" w:cs="Arial" w:eastAsia="Arial" w:hAnsi="Arial"/>
                <w:sz w:val="18"/>
                <w:szCs w:val="18"/>
                <w:b w:val="1"/>
                <w:bCs w:val="1"/>
                <w:color w:val="auto"/>
                <w:w w:val="96"/>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5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9"/>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6"/>
        </w:trPr>
        <w:tc>
          <w:tcPr>
            <w:tcW w:w="5840" w:type="dxa"/>
            <w:vAlign w:val="bottom"/>
          </w:tcPr>
          <w:p>
            <w:pPr>
              <w:spacing w:after="0"/>
              <w:rPr>
                <w:sz w:val="20"/>
                <w:szCs w:val="20"/>
                <w:color w:val="auto"/>
              </w:rPr>
            </w:pP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r>
      <w:tr>
        <w:trPr>
          <w:trHeight w:val="418"/>
        </w:trPr>
        <w:tc>
          <w:tcPr>
            <w:tcW w:w="6600" w:type="dxa"/>
            <w:vAlign w:val="bottom"/>
            <w:gridSpan w:val="2"/>
          </w:tcPr>
          <w:p>
            <w:pPr>
              <w:spacing w:after="0"/>
              <w:rPr>
                <w:sz w:val="20"/>
                <w:szCs w:val="20"/>
                <w:color w:val="auto"/>
              </w:rPr>
            </w:pPr>
            <w:r>
              <w:rPr>
                <w:rFonts w:ascii="Arial" w:cs="Arial" w:eastAsia="Arial" w:hAnsi="Arial"/>
                <w:sz w:val="18"/>
                <w:szCs w:val="18"/>
                <w:color w:val="auto"/>
              </w:rPr>
              <w:t>Cost of Revenues %</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41.4%</w:t>
            </w:r>
          </w:p>
        </w:tc>
        <w:tc>
          <w:tcPr>
            <w:tcW w:w="76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38.4%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2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Gross Margin %</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58.6%</w:t>
            </w:r>
          </w:p>
        </w:tc>
        <w:tc>
          <w:tcPr>
            <w:tcW w:w="7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61.6%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65.0%</w:t>
            </w:r>
          </w:p>
        </w:tc>
      </w:tr>
    </w:tbl>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reflected in the table above, our gross margin decreased in both 2020 periods from the prior year periods. As discussed under cost of revenues above, we had an unusually favorable product mix in the 2019 periods that had a positive impact our margin in 2019. Our gross margin for the full year of 2019 was 62.7%. Our gross margin was 57.3% in the first quarter of 2020 and improved to 58.0% in the second quarter. We expect our gross margin to improve on a quarter over quarter basis for the balance of the year, with a target of 63.0% for the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expenses increased from approximately $3.8 million for the three months ended June 30, 2019 to approximately $6.2 million for the same period in 2020. Operating expenses increased from approximately $7.3 million for the six months ended June 30, 2019 to approximately $12.8 million for the same period in 2020. Overall, the increase resulted from our efforts to expand our product line and build out our organization to establish a strong base for current and future growth. The detail by major category is reflected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3,176,460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2,101,309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6,382,597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3,790,343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780,670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543,130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1,635,182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1,179,476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186,834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131,690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672,304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359,088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Board Fees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51,375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34,250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102,750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Investor Relations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28,677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22,081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48,127</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43,817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Consultants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168,263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51,640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259,678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95,500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230,911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163,903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410,310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354,713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Amortization, and Non-cash Lease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520,794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235,571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1,040,463</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425,872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607,003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221,891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1,165,661</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398,109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Integration Incentives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207,973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47,914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415,946</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89,792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227,956</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127,459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381,477</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246,511</w:t>
            </w:r>
          </w:p>
        </w:tc>
        <w:tc>
          <w:tcPr>
            <w:tcW w:w="0" w:type="dxa"/>
            <w:vAlign w:val="bottom"/>
          </w:tcPr>
          <w:p>
            <w:pPr>
              <w:spacing w:after="0"/>
              <w:rPr>
                <w:sz w:val="1"/>
                <w:szCs w:val="1"/>
                <w:color w:val="auto"/>
              </w:rPr>
            </w:pPr>
          </w:p>
        </w:tc>
      </w:tr>
      <w:tr>
        <w:trPr>
          <w:trHeight w:val="244"/>
        </w:trPr>
        <w:tc>
          <w:tcPr>
            <w:tcW w:w="5980" w:type="dxa"/>
            <w:vAlign w:val="bottom"/>
          </w:tcPr>
          <w:p>
            <w:pPr>
              <w:spacing w:after="0"/>
              <w:rPr>
                <w:sz w:val="20"/>
                <w:szCs w:val="20"/>
                <w:color w:val="auto"/>
              </w:rPr>
            </w:pPr>
            <w:r>
              <w:rPr>
                <w:rFonts w:ascii="Arial" w:cs="Arial" w:eastAsia="Arial" w:hAnsi="Arial"/>
                <w:sz w:val="18"/>
                <w:szCs w:val="18"/>
                <w:color w:val="auto"/>
              </w:rPr>
              <w:t>Travel and Entertainment</w:t>
            </w:r>
          </w:p>
        </w:tc>
        <w:tc>
          <w:tcPr>
            <w:tcW w:w="2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13,111</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158,267</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287,623</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281,173</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980" w:type="dxa"/>
            <w:vAlign w:val="bottom"/>
            <w:vMerge w:val="continue"/>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6,200,027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3,839,105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12,802,118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7,332,894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largest increases in operating expenses are related to salaries, wages, and benefits and other human resource related costs. Since the beginning of the first quarter of 2019, we have significantly expanded our sales force, made an acquisition to expand our product portfolio, and added to our product development, data, and finance teams. These new hires have established a strong basis for significant future growth and have also resulted in increases in benefits, payroll taxes, and related travel. The increased stock-based compensation results from the grant of new options and the increased number of team members. We expect salaries, wages, &amp; benefits, as well as stock-based compensation to remain at similar levels, or only increase slightly, for the balance of the year. We expect travel expense to remain low for the balance of the year as a result of the COVID-19 pandemic.</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Professional fees increased in 2020 as a result of our change in auditor to a larger firm and associated higher fees, as well as the acquisition we completed in late 2019. This increased the complexity of our year-end audit and we were required to obtain third party valuations of the allocation of our purchase price and the fair value of those assets and liabilities as of December 31, 2019, including the contingent purchase price payable. In addition, our legal fees have increased related to the many new contracts we have signed.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 w:name="page17"/>
    <w:bookmarkEnd w:id="16"/>
    <w:p>
      <w:pPr>
        <w:jc w:val="both"/>
        <w:ind w:right="200"/>
        <w:spacing w:after="0" w:line="263" w:lineRule="auto"/>
        <w:rPr>
          <w:sz w:val="20"/>
          <w:szCs w:val="20"/>
          <w:color w:val="auto"/>
        </w:rPr>
      </w:pPr>
      <w:r>
        <w:rPr>
          <w:rFonts w:ascii="Arial" w:cs="Arial" w:eastAsia="Arial" w:hAnsi="Arial"/>
          <w:sz w:val="18"/>
          <w:szCs w:val="18"/>
          <w:color w:val="auto"/>
        </w:rPr>
        <w:t>Depreciation and amortization increased because of the amortizable assets acquired in connection with our acquisition of RMDY in the fourth quarter of 2019. Office, facility, and other expenses also increased as a result of the acquisition, which resulted in an additional office location for us, as well as the normal increased costs associated with increased business activity.</w:t>
      </w:r>
    </w:p>
    <w:p>
      <w:pPr>
        <w:spacing w:after="0" w:line="18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Research, development, and maintenance costs increased primarily because our efforts to expand and enhance our patient engagement platforms and products, as well as integration costs related to the combination, improvement and optimization of IT systems.</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Integration and exclusivity costs represent payment to partners for access and/or exclusivity. These payments are usually made in lump sums and expensed over the term of the contracts. These expenses are an important part of our ability to expand our network and increased in 2020 as a result of new agreements signed.</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purchase price allocations for both of our recent acquisitions included potential additional consideration to be paid if certain revenue levels are achieved in 2019, 2020, and 2021. That liability is required to be adjusted to fair value each quarter. The increase in the fair value of contingent consideration in 2019 related to our acquisition of CareSpeak Communications in 2018. The maximum amount of potential contingent consideration related to CareSpeak was recorded as of December 31, 2019 and we still expect the maximum amount to be paid. The increase in contingent consideration in 2020 relates to our acquisition of RMDY Health, Inc. in 2019. We currently expect to pay $3.75 million of contingent consideration related to the RMDY Health acquisition, up from the $3.72 million recorded at the time of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All other variances in the table above are the result of normal fluctuations in activity.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our overall operating expenses to continue at the second quarter of 2020 level, or slightly lower as we further implement our business plan and expand our operations to grow the business in a very dynamic and active marketplace. However, we have established a strong team as a base to support growth and we are seeing the results of the investment in our team last year in our strong revenue growth this year. We do not expect human resource costs to increase as quickly as 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had a net loss of $1.1 million for the three months ended June 30, 2020, as compared to net income of $0.4 million during the same period in 2019, and down from the $2.2 million loss in the three months ended March 31, 2020. We had a loss of approximately $3.3 million for the six months ended June 30, 2020, as compared to net income of approximately $0.4 million during the same period in 2019. The reasons and specific components associated with the change are discussed above. Overall, the loss resulted from increased operating expenses to support strong revenue growth throughout 2020 and beyond.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June 30, 2020, we had total current assets of $27.6 million, compared with current liabilities of $12.2 million, resulting in working capital of approximately $15.4 million and a current ratio of 2.3 to 1. This represents a decrease from our working capital of approximately $21.0 million and current ratio of 4.4 to 1 at December 31, 2019.</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7" w:name="page18"/>
    <w:bookmarkEnd w:id="17"/>
    <w:p>
      <w:pPr>
        <w:ind w:right="100"/>
        <w:spacing w:after="0" w:line="289" w:lineRule="auto"/>
        <w:rPr>
          <w:sz w:val="20"/>
          <w:szCs w:val="20"/>
          <w:color w:val="auto"/>
        </w:rPr>
      </w:pPr>
      <w:r>
        <w:rPr>
          <w:rFonts w:ascii="Arial" w:cs="Arial" w:eastAsia="Arial" w:hAnsi="Arial"/>
          <w:sz w:val="16"/>
          <w:szCs w:val="16"/>
          <w:color w:val="auto"/>
        </w:rPr>
        <w:t>Our operating activities used approximately $3.6 in cash flow during the six months ended June 30, 2020, compared with cash provided of approximately $0.8 million in the same period in 2019. In the 2020 period, operating activities used $3.7 million in the first quarter and provided approximately $0.1 million in the quarter ended June 30, 2020. The cash used in the 2020 period was primarily the result of increased investment in working capital; in particular, we made a $2.0 million prepayment to a partner that accounts for the bulk of the increase in prepaid expenses and will be expensed over the balance of the year as revenue is generated through that channel. In addition, as a result of our strong revenue growth, our trade receivables increased by $3.4 million, which was partially offset by increased revenue share of $1.9 million owed to our channel partners. This increase in accounts receivable does not reflect on our customers’ ability to pay. Our customers are large multinational companies that generally dictate extended payment terms, but offer discounts for quick payment. Since we have sufficient cash reserves, we do not take advantage of the discounts, which translates to relatively high implied rates of interest. The cash provided in the 2019 period was the result of our net income increased by noncash expenses.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used approximately $25,000 and $1.05 million in investing activities for the six months ended June 30, 2020, and 2019, respectively. These investments related to purchases of equipment as well as investments related to the expansion of our network capabilities.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had a net use of cash in financing activities in the six months ended June 30, 2020. This included proceeds from financing activities of approximately $0.3 million related to the exercise of stock options offset by approximately $1.4 million in payments related to contingent consideration. We had net proceeds of $21.9 million from financing activities during the six months ended June 30, 2019, primarily from a secondary offering of common stock in June 2019.</w:t>
      </w:r>
    </w:p>
    <w:p>
      <w:pPr>
        <w:spacing w:after="0" w:line="18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2019; however, we consider our critical accounting policies to be those related to determining the amount of revenue to be billed, the timing of revenue recognition, calculation of revenue share expense, stock-based compensation, capitalization and related amortization of intangible assets, impairment of assets, and the fair value of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that requires measurement and recognition of expected credit losses for most financial assets and certain other instruments, including but not limited to accounts receivable and available for sale debt securities. ASU 2016-13 was effective for the Company on January 1, 2020. The adoption of this standard did not have a material effect on our financial position, results of operations, or cash flows.</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August 2019, the FASB issued ASU 2019-13, Fair Value Measurement (Topic 820): Disclosure Framework-Changes to the Disclosure Requirements for Fair Value Measurement. ASU 2019-13 modifies the disclosure requirements on fair value measurements and became effective for the Company on January 1, 2020. The adoption of this standard did not have a material effect on our financial position, results of operations, or cash flows.</w:t>
      </w: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12, 2020, with early adoption permitted. The adoption of this standard is not expected to have a material effect on our financial position, results of operations, or cash flows.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adoption of this standard did not have a material effect on our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required to provide the information required by this Item.</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that evaluation, our Chief Executive Officer and Chief Financial Officer concluded that, as of June 30, 2020, our disclosure controls and procedures were not effective due to the presence of material weaknesses in internal control over financial reporting.</w:t>
      </w:r>
    </w:p>
    <w:p>
      <w:pPr>
        <w:spacing w:after="0" w:line="1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described in more detail in our annual report on Form 10-K for the year ended December 31, 2019, management identified the following material weaknesses which have caused management to conclude that our disclosure controls and procedures were not effective: (i) inadequate information technology general controls (ITGCs) in the areas of user access security, change management, IT operations and third-party management over its key financial information technology (IT) systems; and (ii) inadequate controls to ensure that data received from third parties is complete and accurate. Those weaknesses have largely been remediated as of June 30, 2020; however, the passage of additional time is required to be able to test the effectiveness of the remediation.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six months ended June 30, 2020, we implemented additional user access security controls and other controls of IT security and are in the process of implementing additional change management controls. We have also implemented and documented additional controls over data received from third parties. We expect to have these new controls fully implemented and tested by the end of the third quarter of 2020 and to be able to consider them fully remediated at that time.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While we made other routine ongoing improvements in our internal control and processes, no other material changes were made during the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2019.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business, results of operations, and our financial condition may be further impacted by the outbreak of COVID-19 and such impact could be materially adverse.</w:t>
      </w:r>
    </w:p>
    <w:p>
      <w:pPr>
        <w:spacing w:after="0" w:line="17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global spread of COVID-19 has created significant volatility, uncertainty and economic disruption. The extent to which the coronavirus pandemic impacts our business, operations, and financial results is uncertain and will depend on numerous evolving factors that we may not be able to accurately predict, including:</w:t>
      </w:r>
    </w:p>
    <w:p>
      <w:pPr>
        <w:spacing w:after="0" w:line="18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governmental, business and individual actions taken in response to the pandemic and the impact of those actions on global economic activity;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actions taken in response to economic disruption;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business disruptions;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increase in business failures that we may utilize as industry partners and the customers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as to the impact or staff availability during and post the pandemic; and</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provide our services, including as a result of our employees or our customers and suppliers working remotely and/or closures of offices and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June 2020, we issued 7,748 shares of common stock to our independent directors in connection with our Director Compensation Plan. We also issued a total 55,731 shares of common stock during the three months ended June 30, 2020, in connection with the exercise of options under our 2013 equity compensation plan and an additional 42,374 shares under the same plan in connection with restricted stock awards.</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Subsequent to the reporting period, in July, 2020, we received proceeds of $193,768 and issued 64,261 shares of common stock in conjunction with the exercise of stock options.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None</w:t>
            </w:r>
          </w:p>
        </w:tc>
        <w:tc>
          <w:tcPr>
            <w:tcW w:w="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1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5"/>
                <w:szCs w:val="15"/>
                <w:color w:val="auto"/>
              </w:rPr>
            </w:pPr>
          </w:p>
        </w:tc>
        <w:tc>
          <w:tcPr>
            <w:tcW w:w="9880" w:type="dxa"/>
            <w:vAlign w:val="bottom"/>
            <w:tcBorders>
              <w:top w:val="single" w:sz="8" w:color="auto"/>
            </w:tcBorders>
            <w:gridSpan w:val="6"/>
          </w:tcPr>
          <w:p>
            <w:pPr>
              <w:spacing w:after="0" w:line="17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Certification of Chief Executive Officer pursuant to 18 U.S.C. Section 1350, as adopted pursuant to Section 302 of the Sarbanes-Oxley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Act of 2002</w:t>
              </w:r>
            </w:hyperlink>
          </w:p>
        </w:tc>
        <w:tc>
          <w:tcPr>
            <w:tcW w:w="8860" w:type="dxa"/>
            <w:vAlign w:val="bottom"/>
            <w:tcBorders>
              <w:top w:val="single" w:sz="8" w:color="0000EE"/>
            </w:tcBorders>
            <w:gridSpan w:val="3"/>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96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Certification of Chief Financial Officer pursuant to 18 U.S.C. Section 1350, as adopted pursuant to Section 302 of the Sarbanes-Oxley</w:t>
              </w:r>
            </w:hyperlink>
          </w:p>
        </w:tc>
        <w:tc>
          <w:tcPr>
            <w:tcW w:w="2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Act of 2002</w:t>
              </w:r>
            </w:hyperlink>
          </w:p>
        </w:tc>
        <w:tc>
          <w:tcPr>
            <w:tcW w:w="9020" w:type="dxa"/>
            <w:vAlign w:val="bottom"/>
            <w:gridSpan w:val="5"/>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9880" w:type="dxa"/>
            <w:vAlign w:val="bottom"/>
            <w:gridSpan w:val="6"/>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Chief Executive Officer and Chief Financial Officer pursuant to 18 U.S.C. Section 1350, as adopted pursuant to Section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906 of the Sarbanes-Oxley Act of 2002</w:t>
              </w:r>
            </w:hyperlink>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9880" w:type="dxa"/>
            <w:vAlign w:val="bottom"/>
            <w:gridSpan w:val="6"/>
          </w:tcPr>
          <w:p>
            <w:pPr>
              <w:spacing w:after="0"/>
              <w:rPr>
                <w:sz w:val="20"/>
                <w:szCs w:val="20"/>
                <w:color w:val="auto"/>
              </w:rPr>
            </w:pPr>
            <w:r>
              <w:rPr>
                <w:rFonts w:ascii="Arial" w:cs="Arial" w:eastAsia="Arial" w:hAnsi="Arial"/>
                <w:sz w:val="18"/>
                <w:szCs w:val="18"/>
                <w:color w:val="auto"/>
                <w:w w:val="98"/>
              </w:rPr>
              <w:t>The following materials from the Company’s Quarterly Report on Form 10-Q for the quarter ended June 30, 2020 formatted in</w:t>
            </w:r>
          </w:p>
        </w:tc>
      </w:tr>
      <w:tr>
        <w:trPr>
          <w:trHeight w:val="230"/>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6"/>
          </w:tcPr>
          <w:p>
            <w:pPr>
              <w:spacing w:after="0"/>
              <w:rPr>
                <w:sz w:val="20"/>
                <w:szCs w:val="20"/>
                <w:color w:val="auto"/>
              </w:rPr>
            </w:pPr>
            <w:r>
              <w:rPr>
                <w:rFonts w:ascii="Arial" w:cs="Arial" w:eastAsia="Arial" w:hAnsi="Arial"/>
                <w:sz w:val="18"/>
                <w:szCs w:val="18"/>
                <w:color w:val="auto"/>
              </w:rPr>
              <w:t>Extensible Business Reporting Language (XBRL).</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Provided herewith</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August 5, 2020</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18"/>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August 5, 2020</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21</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2020 of OptimizeRx Corp (the “registrant”);</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49"/>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59"/>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49"/>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459"/>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449"/>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459"/>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J. Febbo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2020 of OptimizeRx Corp (the “registrant”);</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49"/>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59"/>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49"/>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459"/>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449"/>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459"/>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Douglas P. Baker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June 30, 2020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Willian J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August 5, 2020</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Douglas P.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August 5, 2020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2020-08-05T15:15:34Z</dcterms:created>
  <dcterms:modified xsi:type="dcterms:W3CDTF">2020-08-05T15:15:34Z</dcterms:modified>
</cp:coreProperties>
</file>