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80,705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03/31/2017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125,559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-1906905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sold pursuant to a plan of disposition adopted on June 16, 2020 in accordance with Rule 10b5-1 of the Securities Exchange Act of 1934, as amended.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09/04/2020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2020-09-04T15:46:03Z</dcterms:created>
  <dcterms:modified xsi:type="dcterms:W3CDTF">2020-09-04T15:46:03Z</dcterms:modified>
</cp:coreProperties>
</file>