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10-Q/A</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29" w:lineRule="exact"/>
        <w:rPr>
          <w:sz w:val="24"/>
          <w:szCs w:val="24"/>
          <w:color w:val="auto"/>
        </w:rPr>
      </w:pPr>
    </w:p>
    <w:p>
      <w:pPr>
        <w:ind w:left="4000" w:right="2320" w:hanging="1672"/>
        <w:spacing w:after="0" w:line="481" w:lineRule="auto"/>
        <w:tabs>
          <w:tab w:leader="none" w:pos="253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2022</w:t>
      </w:r>
    </w:p>
    <w:p>
      <w:pPr>
        <w:spacing w:after="0" w:line="34" w:lineRule="exact"/>
        <w:rPr>
          <w:rFonts w:ascii="MS PGothic" w:cs="MS PGothic" w:eastAsia="MS PGothic" w:hAnsi="MS PGothic"/>
          <w:sz w:val="18"/>
          <w:szCs w:val="18"/>
          <w:color w:val="auto"/>
        </w:rPr>
      </w:pPr>
    </w:p>
    <w:p>
      <w:pPr>
        <w:ind w:left="2800" w:hanging="202"/>
        <w:spacing w:after="0"/>
        <w:tabs>
          <w:tab w:leader="none" w:pos="280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780" w:type="dxa"/>
            <w:vAlign w:val="bottom"/>
            <w:gridSpan w:val="13"/>
          </w:tcPr>
          <w:p>
            <w:pPr>
              <w:jc w:val="center"/>
              <w:ind w:left="3390"/>
              <w:spacing w:after="0"/>
              <w:rPr>
                <w:sz w:val="20"/>
                <w:szCs w:val="20"/>
                <w:color w:val="auto"/>
              </w:rPr>
            </w:pPr>
            <w:r>
              <w:rPr>
                <w:rFonts w:ascii="Arial" w:cs="Arial" w:eastAsia="Arial" w:hAnsi="Arial"/>
                <w:sz w:val="18"/>
                <w:szCs w:val="18"/>
                <w:color w:val="auto"/>
                <w:w w:val="91"/>
              </w:rPr>
              <w:t>For the transition period from __________ to __________</w:t>
            </w:r>
          </w:p>
        </w:tc>
        <w:tc>
          <w:tcPr>
            <w:tcW w:w="3460" w:type="dxa"/>
            <w:vAlign w:val="bottom"/>
          </w:tcPr>
          <w:p>
            <w:pPr>
              <w:spacing w:after="0"/>
              <w:rPr>
                <w:sz w:val="20"/>
                <w:szCs w:val="20"/>
                <w:color w:val="auto"/>
              </w:rPr>
            </w:pPr>
          </w:p>
        </w:tc>
      </w:tr>
      <w:tr>
        <w:trPr>
          <w:trHeight w:val="391"/>
        </w:trPr>
        <w:tc>
          <w:tcPr>
            <w:tcW w:w="7780" w:type="dxa"/>
            <w:vAlign w:val="bottom"/>
            <w:gridSpan w:val="13"/>
          </w:tcPr>
          <w:p>
            <w:pPr>
              <w:jc w:val="center"/>
              <w:ind w:left="3390"/>
              <w:spacing w:after="0"/>
              <w:rPr>
                <w:sz w:val="20"/>
                <w:szCs w:val="20"/>
                <w:color w:val="auto"/>
              </w:rPr>
            </w:pPr>
            <w:r>
              <w:rPr>
                <w:rFonts w:ascii="Arial" w:cs="Arial" w:eastAsia="Arial" w:hAnsi="Arial"/>
                <w:sz w:val="18"/>
                <w:szCs w:val="18"/>
                <w:color w:val="auto"/>
                <w:w w:val="91"/>
              </w:rPr>
              <w:t xml:space="preserve">Commission File Number: </w:t>
            </w:r>
            <w:r>
              <w:rPr>
                <w:rFonts w:ascii="Arial" w:cs="Arial" w:eastAsia="Arial" w:hAnsi="Arial"/>
                <w:sz w:val="18"/>
                <w:szCs w:val="18"/>
                <w:b w:val="1"/>
                <w:bCs w:val="1"/>
                <w:color w:val="auto"/>
                <w:w w:val="91"/>
              </w:rPr>
              <w:t>001-38543</w:t>
            </w:r>
          </w:p>
        </w:tc>
        <w:tc>
          <w:tcPr>
            <w:tcW w:w="3460" w:type="dxa"/>
            <w:vAlign w:val="bottom"/>
          </w:tcPr>
          <w:p>
            <w:pPr>
              <w:spacing w:after="0"/>
              <w:rPr>
                <w:sz w:val="24"/>
                <w:szCs w:val="24"/>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412"/>
        </w:trPr>
        <w:tc>
          <w:tcPr>
            <w:tcW w:w="4660" w:type="dxa"/>
            <w:vAlign w:val="bottom"/>
          </w:tcPr>
          <w:p>
            <w:pPr>
              <w:spacing w:after="0"/>
              <w:rPr>
                <w:sz w:val="24"/>
                <w:szCs w:val="24"/>
                <w:color w:val="auto"/>
              </w:rPr>
            </w:pPr>
          </w:p>
        </w:tc>
        <w:tc>
          <w:tcPr>
            <w:tcW w:w="194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b w:val="1"/>
                <w:bCs w:val="1"/>
                <w:color w:val="auto"/>
                <w:w w:val="93"/>
              </w:rPr>
              <w:t>OptimizeRx Corporation</w:t>
            </w:r>
          </w:p>
        </w:tc>
        <w:tc>
          <w:tcPr>
            <w:tcW w:w="1180" w:type="dxa"/>
            <w:vAlign w:val="bottom"/>
            <w:gridSpan w:val="2"/>
          </w:tcPr>
          <w:p>
            <w:pPr>
              <w:spacing w:after="0"/>
              <w:rPr>
                <w:sz w:val="24"/>
                <w:szCs w:val="24"/>
                <w:color w:val="auto"/>
              </w:rPr>
            </w:pPr>
          </w:p>
        </w:tc>
        <w:tc>
          <w:tcPr>
            <w:tcW w:w="3460" w:type="dxa"/>
            <w:vAlign w:val="bottom"/>
          </w:tcPr>
          <w:p>
            <w:pPr>
              <w:spacing w:after="0"/>
              <w:rPr>
                <w:sz w:val="24"/>
                <w:szCs w:val="24"/>
                <w:color w:val="auto"/>
              </w:rPr>
            </w:pPr>
          </w:p>
        </w:tc>
      </w:tr>
      <w:tr>
        <w:trPr>
          <w:trHeight w:val="237"/>
        </w:trPr>
        <w:tc>
          <w:tcPr>
            <w:tcW w:w="7780" w:type="dxa"/>
            <w:vAlign w:val="bottom"/>
            <w:gridSpan w:val="13"/>
          </w:tcPr>
          <w:p>
            <w:pPr>
              <w:jc w:val="center"/>
              <w:ind w:left="3370"/>
              <w:spacing w:after="0"/>
              <w:rPr>
                <w:sz w:val="20"/>
                <w:szCs w:val="20"/>
                <w:color w:val="auto"/>
              </w:rPr>
            </w:pPr>
            <w:r>
              <w:rPr>
                <w:rFonts w:ascii="Arial" w:cs="Arial" w:eastAsia="Arial" w:hAnsi="Arial"/>
                <w:sz w:val="18"/>
                <w:szCs w:val="18"/>
                <w:color w:val="auto"/>
                <w:w w:val="90"/>
              </w:rPr>
              <w:t>(Exact name of registrant as specified in its charter)</w:t>
            </w:r>
          </w:p>
        </w:tc>
        <w:tc>
          <w:tcPr>
            <w:tcW w:w="3460" w:type="dxa"/>
            <w:vAlign w:val="bottom"/>
          </w:tcPr>
          <w:p>
            <w:pPr>
              <w:spacing w:after="0"/>
              <w:rPr>
                <w:sz w:val="20"/>
                <w:szCs w:val="20"/>
                <w:color w:val="auto"/>
              </w:rPr>
            </w:pPr>
          </w:p>
        </w:tc>
      </w:tr>
      <w:tr>
        <w:trPr>
          <w:trHeight w:val="439"/>
        </w:trPr>
        <w:tc>
          <w:tcPr>
            <w:tcW w:w="7780" w:type="dxa"/>
            <w:vAlign w:val="bottom"/>
            <w:gridSpan w:val="13"/>
          </w:tcPr>
          <w:p>
            <w:pPr>
              <w:jc w:val="center"/>
              <w:ind w:right="2240"/>
              <w:spacing w:after="0"/>
              <w:rPr>
                <w:sz w:val="20"/>
                <w:szCs w:val="20"/>
                <w:color w:val="auto"/>
              </w:rPr>
            </w:pPr>
            <w:r>
              <w:rPr>
                <w:rFonts w:ascii="Arial" w:cs="Arial" w:eastAsia="Arial" w:hAnsi="Arial"/>
                <w:sz w:val="18"/>
                <w:szCs w:val="18"/>
                <w:b w:val="1"/>
                <w:bCs w:val="1"/>
                <w:color w:val="auto"/>
                <w:w w:val="90"/>
              </w:rPr>
              <w:t>Nevada</w:t>
            </w:r>
          </w:p>
        </w:tc>
        <w:tc>
          <w:tcPr>
            <w:tcW w:w="3460" w:type="dxa"/>
            <w:vAlign w:val="bottom"/>
          </w:tcPr>
          <w:p>
            <w:pPr>
              <w:jc w:val="center"/>
              <w:ind w:right="1950"/>
              <w:spacing w:after="0"/>
              <w:rPr>
                <w:sz w:val="20"/>
                <w:szCs w:val="20"/>
                <w:color w:val="auto"/>
              </w:rPr>
            </w:pPr>
            <w:r>
              <w:rPr>
                <w:rFonts w:ascii="Arial" w:cs="Arial" w:eastAsia="Arial" w:hAnsi="Arial"/>
                <w:sz w:val="18"/>
                <w:szCs w:val="18"/>
                <w:b w:val="1"/>
                <w:bCs w:val="1"/>
                <w:color w:val="auto"/>
                <w:w w:val="89"/>
              </w:rPr>
              <w:t>26-1265381</w:t>
            </w:r>
          </w:p>
        </w:tc>
      </w:tr>
      <w:tr>
        <w:trPr>
          <w:trHeight w:val="202"/>
        </w:trPr>
        <w:tc>
          <w:tcPr>
            <w:tcW w:w="5520" w:type="dxa"/>
            <w:vAlign w:val="bottom"/>
            <w:tcBorders>
              <w:top w:val="single" w:sz="8" w:color="auto"/>
            </w:tcBorders>
            <w:gridSpan w:val="4"/>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60" w:type="dxa"/>
            <w:vAlign w:val="bottom"/>
            <w:tcBorders>
              <w:top w:val="single" w:sz="8" w:color="auto"/>
            </w:tcBorders>
          </w:tcPr>
          <w:p>
            <w:pPr>
              <w:jc w:val="center"/>
              <w:ind w:right="195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7780" w:type="dxa"/>
            <w:vAlign w:val="bottom"/>
            <w:gridSpan w:val="13"/>
          </w:tcPr>
          <w:p>
            <w:pPr>
              <w:jc w:val="center"/>
              <w:ind w:right="2260"/>
              <w:spacing w:after="0"/>
              <w:rPr>
                <w:sz w:val="20"/>
                <w:szCs w:val="20"/>
                <w:color w:val="auto"/>
              </w:rPr>
            </w:pPr>
            <w:r>
              <w:rPr>
                <w:rFonts w:ascii="Arial" w:cs="Arial" w:eastAsia="Arial" w:hAnsi="Arial"/>
                <w:sz w:val="18"/>
                <w:szCs w:val="18"/>
                <w:color w:val="auto"/>
                <w:w w:val="92"/>
              </w:rPr>
              <w:t>incorporation or organization)</w:t>
            </w:r>
          </w:p>
        </w:tc>
        <w:tc>
          <w:tcPr>
            <w:tcW w:w="3460" w:type="dxa"/>
            <w:vAlign w:val="bottom"/>
          </w:tcPr>
          <w:p>
            <w:pPr>
              <w:jc w:val="center"/>
              <w:ind w:right="19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780" w:type="dxa"/>
            <w:vAlign w:val="bottom"/>
            <w:gridSpan w:val="13"/>
          </w:tcPr>
          <w:p>
            <w:pPr>
              <w:jc w:val="center"/>
              <w:ind w:left="3370"/>
              <w:spacing w:after="0"/>
              <w:rPr>
                <w:sz w:val="20"/>
                <w:szCs w:val="20"/>
                <w:color w:val="auto"/>
              </w:rPr>
            </w:pPr>
            <w:r>
              <w:rPr>
                <w:rFonts w:ascii="Arial" w:cs="Arial" w:eastAsia="Arial" w:hAnsi="Arial"/>
                <w:sz w:val="18"/>
                <w:szCs w:val="18"/>
                <w:b w:val="1"/>
                <w:bCs w:val="1"/>
                <w:color w:val="auto"/>
                <w:w w:val="90"/>
              </w:rPr>
              <w:t>400 Water Street</w:t>
            </w:r>
            <w:r>
              <w:rPr>
                <w:rFonts w:ascii="Arial" w:cs="Arial" w:eastAsia="Arial" w:hAnsi="Arial"/>
                <w:sz w:val="18"/>
                <w:szCs w:val="18"/>
                <w:color w:val="auto"/>
                <w:w w:val="90"/>
              </w:rPr>
              <w:t>,</w:t>
            </w:r>
            <w:r>
              <w:rPr>
                <w:rFonts w:ascii="Arial" w:cs="Arial" w:eastAsia="Arial" w:hAnsi="Arial"/>
                <w:sz w:val="18"/>
                <w:szCs w:val="18"/>
                <w:b w:val="1"/>
                <w:bCs w:val="1"/>
                <w:color w:val="auto"/>
                <w:w w:val="90"/>
              </w:rPr>
              <w:t xml:space="preserve"> Suite 200</w:t>
            </w:r>
          </w:p>
        </w:tc>
        <w:tc>
          <w:tcPr>
            <w:tcW w:w="3460" w:type="dxa"/>
            <w:vAlign w:val="bottom"/>
          </w:tcPr>
          <w:p>
            <w:pPr>
              <w:spacing w:after="0"/>
              <w:rPr>
                <w:sz w:val="24"/>
                <w:szCs w:val="24"/>
                <w:color w:val="auto"/>
              </w:rPr>
            </w:pPr>
          </w:p>
        </w:tc>
      </w:tr>
      <w:tr>
        <w:trPr>
          <w:trHeight w:val="194"/>
        </w:trPr>
        <w:tc>
          <w:tcPr>
            <w:tcW w:w="4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80" w:type="dxa"/>
            <w:vAlign w:val="bottom"/>
            <w:gridSpan w:val="11"/>
          </w:tcPr>
          <w:p>
            <w:pPr>
              <w:jc w:val="center"/>
              <w:ind w:right="1340"/>
              <w:spacing w:after="0" w:line="194" w:lineRule="exact"/>
              <w:rPr>
                <w:sz w:val="20"/>
                <w:szCs w:val="20"/>
                <w:color w:val="auto"/>
              </w:rPr>
            </w:pPr>
            <w:r>
              <w:rPr>
                <w:rFonts w:ascii="Arial" w:cs="Arial" w:eastAsia="Arial" w:hAnsi="Arial"/>
                <w:sz w:val="18"/>
                <w:szCs w:val="18"/>
                <w:b w:val="1"/>
                <w:bCs w:val="1"/>
                <w:color w:val="auto"/>
                <w:w w:val="92"/>
              </w:rPr>
              <w:t>Rochester, MI, 48307</w:t>
            </w:r>
          </w:p>
        </w:tc>
        <w:tc>
          <w:tcPr>
            <w:tcW w:w="3460" w:type="dxa"/>
            <w:vAlign w:val="bottom"/>
          </w:tcPr>
          <w:p>
            <w:pPr>
              <w:spacing w:after="0"/>
              <w:rPr>
                <w:sz w:val="16"/>
                <w:szCs w:val="16"/>
                <w:color w:val="auto"/>
              </w:rPr>
            </w:pPr>
          </w:p>
        </w:tc>
      </w:tr>
      <w:tr>
        <w:trPr>
          <w:trHeight w:val="20"/>
        </w:trPr>
        <w:tc>
          <w:tcPr>
            <w:tcW w:w="480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237"/>
        </w:trPr>
        <w:tc>
          <w:tcPr>
            <w:tcW w:w="7780" w:type="dxa"/>
            <w:vAlign w:val="bottom"/>
            <w:gridSpan w:val="13"/>
          </w:tcPr>
          <w:p>
            <w:pPr>
              <w:jc w:val="center"/>
              <w:ind w:left="3390"/>
              <w:spacing w:after="0"/>
              <w:rPr>
                <w:sz w:val="20"/>
                <w:szCs w:val="20"/>
                <w:color w:val="auto"/>
              </w:rPr>
            </w:pPr>
            <w:r>
              <w:rPr>
                <w:rFonts w:ascii="Arial" w:cs="Arial" w:eastAsia="Arial" w:hAnsi="Arial"/>
                <w:sz w:val="18"/>
                <w:szCs w:val="18"/>
                <w:color w:val="auto"/>
                <w:w w:val="92"/>
              </w:rPr>
              <w:t>(Address of principal executive offices)</w:t>
            </w:r>
          </w:p>
        </w:tc>
        <w:tc>
          <w:tcPr>
            <w:tcW w:w="3460" w:type="dxa"/>
            <w:vAlign w:val="bottom"/>
          </w:tcPr>
          <w:p>
            <w:pPr>
              <w:spacing w:after="0"/>
              <w:rPr>
                <w:sz w:val="20"/>
                <w:szCs w:val="20"/>
                <w:color w:val="auto"/>
              </w:rPr>
            </w:pPr>
          </w:p>
        </w:tc>
      </w:tr>
      <w:tr>
        <w:trPr>
          <w:trHeight w:val="392"/>
        </w:trPr>
        <w:tc>
          <w:tcPr>
            <w:tcW w:w="6140" w:type="dxa"/>
            <w:vAlign w:val="bottom"/>
            <w:gridSpan w:val="8"/>
          </w:tcPr>
          <w:p>
            <w:pPr>
              <w:jc w:val="center"/>
              <w:ind w:left="5030"/>
              <w:spacing w:after="0"/>
              <w:rPr>
                <w:sz w:val="20"/>
                <w:szCs w:val="20"/>
                <w:color w:val="auto"/>
              </w:rPr>
            </w:pPr>
            <w:r>
              <w:rPr>
                <w:rFonts w:ascii="Arial" w:cs="Arial" w:eastAsia="Arial" w:hAnsi="Arial"/>
                <w:sz w:val="18"/>
                <w:szCs w:val="18"/>
                <w:b w:val="1"/>
                <w:bCs w:val="1"/>
                <w:color w:val="auto"/>
                <w:w w:val="90"/>
              </w:rPr>
              <w:t>248-651-6568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0"/>
        </w:trPr>
        <w:tc>
          <w:tcPr>
            <w:tcW w:w="5120" w:type="dxa"/>
            <w:vAlign w:val="bottom"/>
            <w:gridSpan w:val="3"/>
          </w:tcPr>
          <w:p>
            <w:pPr>
              <w:spacing w:after="0" w:line="20" w:lineRule="exact"/>
              <w:rPr>
                <w:sz w:val="1"/>
                <w:szCs w:val="1"/>
                <w:color w:val="auto"/>
              </w:rPr>
            </w:pPr>
          </w:p>
        </w:tc>
        <w:tc>
          <w:tcPr>
            <w:tcW w:w="1020" w:type="dxa"/>
            <w:vAlign w:val="bottom"/>
            <w:gridSpan w:val="5"/>
            <w:shd w:val="clear" w:color="auto" w:fill="000000"/>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237"/>
        </w:trPr>
        <w:tc>
          <w:tcPr>
            <w:tcW w:w="7780" w:type="dxa"/>
            <w:vAlign w:val="bottom"/>
            <w:gridSpan w:val="13"/>
          </w:tcPr>
          <w:p>
            <w:pPr>
              <w:jc w:val="center"/>
              <w:ind w:left="3370"/>
              <w:spacing w:after="0"/>
              <w:rPr>
                <w:sz w:val="20"/>
                <w:szCs w:val="20"/>
                <w:color w:val="auto"/>
              </w:rPr>
            </w:pPr>
            <w:r>
              <w:rPr>
                <w:rFonts w:ascii="Arial" w:cs="Arial" w:eastAsia="Arial" w:hAnsi="Arial"/>
                <w:sz w:val="18"/>
                <w:szCs w:val="18"/>
                <w:color w:val="auto"/>
                <w:w w:val="89"/>
              </w:rPr>
              <w:t>(Registrant’s telephone number, including area code)</w:t>
            </w:r>
          </w:p>
        </w:tc>
        <w:tc>
          <w:tcPr>
            <w:tcW w:w="3460" w:type="dxa"/>
            <w:vAlign w:val="bottom"/>
          </w:tcPr>
          <w:p>
            <w:pPr>
              <w:spacing w:after="0"/>
              <w:rPr>
                <w:sz w:val="20"/>
                <w:szCs w:val="20"/>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20" w:type="dxa"/>
            <w:vAlign w:val="bottom"/>
            <w:gridSpan w:val="3"/>
          </w:tcPr>
          <w:p>
            <w:pPr>
              <w:spacing w:after="0"/>
              <w:rPr>
                <w:sz w:val="20"/>
                <w:szCs w:val="20"/>
                <w:color w:val="auto"/>
              </w:rPr>
            </w:pPr>
            <w:r>
              <w:rPr>
                <w:rFonts w:ascii="Arial" w:cs="Arial" w:eastAsia="Arial" w:hAnsi="Arial"/>
                <w:sz w:val="18"/>
                <w:szCs w:val="18"/>
                <w:color w:val="auto"/>
                <w:w w:val="94"/>
              </w:rPr>
              <w:t>Securities registered under Section 12(b) of the Exchange Act:</w:t>
            </w:r>
          </w:p>
        </w:tc>
        <w:tc>
          <w:tcPr>
            <w:tcW w:w="2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720" w:type="dxa"/>
            <w:vAlign w:val="bottom"/>
            <w:gridSpan w:val="3"/>
          </w:tcPr>
          <w:p>
            <w:pPr>
              <w:jc w:val="center"/>
              <w:ind w:right="1100"/>
              <w:spacing w:after="0"/>
              <w:rPr>
                <w:sz w:val="20"/>
                <w:szCs w:val="20"/>
                <w:color w:val="auto"/>
              </w:rPr>
            </w:pPr>
            <w:r>
              <w:rPr>
                <w:rFonts w:ascii="Arial" w:cs="Arial" w:eastAsia="Arial" w:hAnsi="Arial"/>
                <w:sz w:val="18"/>
                <w:szCs w:val="18"/>
                <w:b w:val="1"/>
                <w:bCs w:val="1"/>
                <w:color w:val="auto"/>
                <w:w w:val="86"/>
              </w:rPr>
              <w:t>Title of each class</w:t>
            </w:r>
          </w:p>
        </w:tc>
        <w:tc>
          <w:tcPr>
            <w:tcW w:w="292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 par value $0.001</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ind w:right="790"/>
              <w:spacing w:after="0"/>
              <w:rPr>
                <w:sz w:val="20"/>
                <w:szCs w:val="20"/>
                <w:color w:val="auto"/>
              </w:rPr>
            </w:pPr>
            <w:r>
              <w:rPr>
                <w:rFonts w:ascii="Arial" w:cs="Arial" w:eastAsia="Arial" w:hAnsi="Arial"/>
                <w:sz w:val="18"/>
                <w:szCs w:val="18"/>
                <w:color w:val="auto"/>
                <w:w w:val="93"/>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17" w:right="339" w:bottom="1440" w:gutter="0" w:footer="0" w:header="0"/>
        </w:sectPr>
      </w:pPr>
    </w:p>
    <w:p>
      <w:pPr>
        <w:spacing w:after="0" w:line="151" w:lineRule="exact"/>
        <w:rPr>
          <w:sz w:val="24"/>
          <w:szCs w:val="24"/>
          <w:color w:val="auto"/>
        </w:rPr>
      </w:pPr>
    </w:p>
    <w:p>
      <w:pPr>
        <w:ind w:left="1140"/>
        <w:spacing w:after="0" w:line="207" w:lineRule="exact"/>
        <w:tabs>
          <w:tab w:leader="none" w:pos="14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Large accelerated filer</w:t>
      </w:r>
    </w:p>
    <w:p>
      <w:pPr>
        <w:spacing w:after="0" w:line="58" w:lineRule="exact"/>
        <w:rPr>
          <w:sz w:val="24"/>
          <w:szCs w:val="24"/>
          <w:color w:val="auto"/>
        </w:rPr>
      </w:pPr>
    </w:p>
    <w:p>
      <w:pPr>
        <w:ind w:left="1140"/>
        <w:spacing w:after="0" w:line="207" w:lineRule="exact"/>
        <w:tabs>
          <w:tab w:leader="none" w:pos="14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tabs>
          <w:tab w:leader="none" w:pos="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Accelerated filer</w:t>
      </w:r>
    </w:p>
    <w:p>
      <w:pPr>
        <w:spacing w:after="0" w:line="58" w:lineRule="exact"/>
        <w:rPr>
          <w:sz w:val="24"/>
          <w:szCs w:val="24"/>
          <w:color w:val="auto"/>
        </w:rPr>
      </w:pPr>
    </w:p>
    <w:p>
      <w:pPr>
        <w:spacing w:after="0" w:line="207" w:lineRule="exact"/>
        <w:tabs>
          <w:tab w:leader="none" w:pos="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Smaller reporting company</w:t>
      </w:r>
    </w:p>
    <w:p>
      <w:pPr>
        <w:spacing w:after="0" w:line="9" w:lineRule="exact"/>
        <w:rPr>
          <w:sz w:val="24"/>
          <w:szCs w:val="24"/>
          <w:color w:val="auto"/>
        </w:rPr>
      </w:pPr>
    </w:p>
    <w:p>
      <w:pPr>
        <w:spacing w:after="0" w:line="207" w:lineRule="exact"/>
        <w:tabs>
          <w:tab w:leader="none" w:pos="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Emerging growth company</w:t>
      </w:r>
    </w:p>
    <w:p>
      <w:pPr>
        <w:spacing w:after="0" w:line="200" w:lineRule="exact"/>
        <w:rPr>
          <w:sz w:val="24"/>
          <w:szCs w:val="24"/>
          <w:color w:val="auto"/>
        </w:rPr>
      </w:pPr>
    </w:p>
    <w:p>
      <w:pPr>
        <w:sectPr>
          <w:pgSz w:w="11900" w:h="16838" w:orient="portrait"/>
          <w:cols w:equalWidth="0" w:num="2">
            <w:col w:w="5600" w:space="720"/>
            <w:col w:w="4920"/>
          </w:cols>
          <w:pgMar w:left="320" w:top="517" w:right="339" w:bottom="1440" w:gutter="0" w:footer="0" w:header="0"/>
          <w:type w:val="continuous"/>
        </w:sectPr>
      </w:pPr>
    </w:p>
    <w:p>
      <w:pPr>
        <w:spacing w:after="0" w:line="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State the number of shares outstanding of each of the issuer’s classes of common stock, as of the latest practicable date: 18,023,056 common shares as of August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40" w:type="dxa"/>
            <w:vAlign w:val="bottom"/>
            <w:gridSpan w:val="4"/>
          </w:tcPr>
          <w:p>
            <w:pPr>
              <w:jc w:val="center"/>
              <w:ind w:right="4010"/>
              <w:spacing w:after="0"/>
              <w:rPr>
                <w:sz w:val="20"/>
                <w:szCs w:val="20"/>
                <w:color w:val="auto"/>
              </w:rPr>
            </w:pPr>
            <w:r>
              <w:rPr>
                <w:rFonts w:ascii="Arial" w:cs="Arial" w:eastAsia="Arial" w:hAnsi="Arial"/>
                <w:sz w:val="18"/>
                <w:szCs w:val="18"/>
                <w:b w:val="1"/>
                <w:bCs w:val="1"/>
                <w:color w:val="auto"/>
                <w:w w:val="98"/>
              </w:rPr>
              <w:t>TABLE OF CONTENTS</w:t>
            </w:r>
          </w:p>
        </w:tc>
      </w:tr>
      <w:tr>
        <w:trPr>
          <w:trHeight w:val="439"/>
        </w:trPr>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0"/>
              </w:rPr>
              <w:t>Page</w:t>
            </w:r>
          </w:p>
        </w:tc>
      </w:tr>
      <w:tr>
        <w:trPr>
          <w:trHeight w:val="216"/>
        </w:trPr>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96"/>
        </w:trPr>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780" w:type="dxa"/>
            <w:vAlign w:val="bottom"/>
            <w:gridSpan w:val="6"/>
            <w:shd w:val="clear" w:color="auto" w:fill="CCEEFF"/>
          </w:tcPr>
          <w:p>
            <w:pPr>
              <w:jc w:val="center"/>
              <w:ind w:right="3450"/>
              <w:spacing w:after="0" w:line="176" w:lineRule="exact"/>
              <w:rPr>
                <w:sz w:val="20"/>
                <w:szCs w:val="20"/>
                <w:color w:val="auto"/>
              </w:rPr>
            </w:pPr>
            <w:r>
              <w:rPr>
                <w:rFonts w:ascii="Arial" w:cs="Arial" w:eastAsia="Arial" w:hAnsi="Arial"/>
                <w:sz w:val="18"/>
                <w:szCs w:val="18"/>
                <w:b w:val="1"/>
                <w:bCs w:val="1"/>
                <w:color w:val="0000EE"/>
              </w:rPr>
              <w:t>PART I – FINANCIAL INFORMATION</w:t>
            </w: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9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23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Controls and Procedures</w:t>
            </w:r>
          </w:p>
        </w:tc>
        <w:tc>
          <w:tcPr>
            <w:tcW w:w="7780" w:type="dxa"/>
            <w:vAlign w:val="bottom"/>
            <w:gridSpan w:val="6"/>
            <w:shd w:val="clear" w:color="auto" w:fill="CCEEFF"/>
          </w:tcPr>
          <w:p>
            <w:pPr>
              <w:jc w:val="center"/>
              <w:ind w:left="6470"/>
              <w:spacing w:after="0" w:line="176" w:lineRule="exact"/>
              <w:rPr>
                <w:sz w:val="20"/>
                <w:szCs w:val="20"/>
                <w:color w:val="auto"/>
              </w:rPr>
            </w:pPr>
            <w:r>
              <w:rPr>
                <w:rFonts w:ascii="Arial" w:cs="Arial" w:eastAsia="Arial" w:hAnsi="Arial"/>
                <w:sz w:val="18"/>
                <w:szCs w:val="18"/>
                <w:color w:val="auto"/>
                <w:w w:val="99"/>
              </w:rPr>
              <w:t>1</w:t>
            </w:r>
          </w:p>
        </w:tc>
      </w:tr>
      <w:tr>
        <w:trPr>
          <w:trHeight w:val="176"/>
        </w:trPr>
        <w:tc>
          <w:tcPr>
            <w:tcW w:w="1140" w:type="dxa"/>
            <w:vAlign w:val="bottom"/>
            <w:tcBorders>
              <w:top w:val="single" w:sz="8" w:color="CCEEFF"/>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1180" w:type="dxa"/>
            <w:vAlign w:val="bottom"/>
            <w:tcBorders>
              <w:top w:val="single" w:sz="8" w:color="0000EE"/>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7240" w:type="dxa"/>
            <w:vAlign w:val="bottom"/>
            <w:tcBorders>
              <w:top w:val="single" w:sz="8" w:color="CCEEFF"/>
            </w:tcBorders>
            <w:gridSpan w:val="5"/>
          </w:tcPr>
          <w:p>
            <w:pPr>
              <w:jc w:val="center"/>
              <w:ind w:right="4010"/>
              <w:spacing w:after="0" w:line="176" w:lineRule="exact"/>
              <w:rPr>
                <w:sz w:val="20"/>
                <w:szCs w:val="20"/>
                <w:color w:val="auto"/>
              </w:rPr>
            </w:pPr>
            <w:r>
              <w:rPr>
                <w:rFonts w:ascii="Arial" w:cs="Arial" w:eastAsia="Arial" w:hAnsi="Arial"/>
                <w:sz w:val="18"/>
                <w:szCs w:val="18"/>
                <w:b w:val="1"/>
                <w:bCs w:val="1"/>
                <w:color w:val="0000EE"/>
              </w:rPr>
              <w:t>PART II — OTHER INFORMATION</w:t>
            </w:r>
          </w:p>
        </w:tc>
      </w:tr>
      <w:tr>
        <w:trPr>
          <w:trHeight w:val="20"/>
        </w:trPr>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2320" w:type="dxa"/>
            <w:vAlign w:val="bottom"/>
            <w:gridSpan w:val="3"/>
          </w:tcPr>
          <w:p>
            <w:pPr>
              <w:spacing w:after="0" w:line="176" w:lineRule="exact"/>
              <w:rPr>
                <w:sz w:val="20"/>
                <w:szCs w:val="20"/>
                <w:color w:val="auto"/>
              </w:rPr>
            </w:pPr>
            <w:r>
              <w:rPr>
                <w:rFonts w:ascii="Arial" w:cs="Arial" w:eastAsia="Arial" w:hAnsi="Arial"/>
                <w:sz w:val="18"/>
                <w:szCs w:val="18"/>
                <w:color w:val="0000EE"/>
              </w:rPr>
              <w:t>Exhibits</w:t>
            </w:r>
          </w:p>
        </w:tc>
        <w:tc>
          <w:tcPr>
            <w:tcW w:w="7780" w:type="dxa"/>
            <w:vAlign w:val="bottom"/>
            <w:gridSpan w:val="6"/>
          </w:tcPr>
          <w:p>
            <w:pPr>
              <w:jc w:val="center"/>
              <w:ind w:left="6470"/>
              <w:spacing w:after="0" w:line="176" w:lineRule="exact"/>
              <w:rPr>
                <w:sz w:val="20"/>
                <w:szCs w:val="20"/>
                <w:color w:val="auto"/>
              </w:rPr>
            </w:pPr>
            <w:r>
              <w:rPr>
                <w:rFonts w:ascii="Arial" w:cs="Arial" w:eastAsia="Arial" w:hAnsi="Arial"/>
                <w:sz w:val="18"/>
                <w:szCs w:val="18"/>
                <w:color w:val="auto"/>
                <w:w w:val="99"/>
              </w:rPr>
              <w:t>2</w:t>
            </w:r>
          </w:p>
        </w:tc>
      </w:tr>
      <w:tr>
        <w:trPr>
          <w:trHeight w:val="676"/>
        </w:trPr>
        <w:tc>
          <w:tcPr>
            <w:tcW w:w="114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gridSpan w:val="4"/>
          </w:tcPr>
          <w:p>
            <w:pPr>
              <w:jc w:val="center"/>
              <w:ind w:right="4010"/>
              <w:spacing w:after="0"/>
              <w:rPr>
                <w:sz w:val="20"/>
                <w:szCs w:val="20"/>
                <w:color w:val="auto"/>
              </w:rPr>
            </w:pPr>
            <w:r>
              <w:rPr>
                <w:rFonts w:ascii="Arial" w:cs="Arial" w:eastAsia="Arial" w:hAnsi="Arial"/>
                <w:sz w:val="18"/>
                <w:szCs w:val="18"/>
                <w:color w:val="auto"/>
                <w:w w:val="98"/>
              </w:rPr>
              <w:t>i</w:t>
            </w:r>
          </w:p>
        </w:tc>
      </w:tr>
    </w:tbl>
    <w:p>
      <w:pPr>
        <w:sectPr>
          <w:pgSz w:w="11900" w:h="16838" w:orient="portrait"/>
          <w:cols w:equalWidth="0" w:num="1">
            <w:col w:w="11240"/>
          </w:cols>
          <w:pgMar w:left="320" w:top="87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OptimizeRx Corporation is filing this Amendment No. 1 on Form 10-Q/A (“Amendment No. 1”) to its Quarterly Report on Form 10-Q for the period ended June 30, 2022, originally filed with the Securities and Exchange Commission (SEC) on August 9, 2022 (the “Original 10-Q Filing”) to address management’s re-evaluation of disclosure controls and procedures and to reflect the identification of a material weakness. The material weakness did not result in any change to the Company’s consolidated financial statements as set forth in the Original 10-Q Filing.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No. 1 is limited in scope to make the following changes to the Original 10-Q Filing:</w:t>
      </w:r>
    </w:p>
    <w:p>
      <w:pPr>
        <w:spacing w:after="0" w:line="225" w:lineRule="exact"/>
        <w:rPr>
          <w:sz w:val="20"/>
          <w:szCs w:val="20"/>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amend Part I - Item 4. Controls and Procedures to reflect management’s (i) re-evaluation of our disclosure controls and procedures, and (ii) identification of a material weakness.</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amend Part II - Item 6. Exhibits to include the following currently dated documents: certifications from the Company’s Chief Executive Officer and Chief Financial Officer as required by Sections 302 and 906 of the Sarbanes Oxley Act of 2002, which certifications are filed herewith as Exhibits 31.1, 31.2, and 32.1.</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Amendment No. 1 has not been updated or amended to give effect to any subsequent events beyond those that existed as of the original filing date and should thus be read in conjunction with the Original 10-Q Filing and any of the company’s other filings with the SEC subsequent to the Original 10-Q Filing, together with any amendments to those filings. Other than the filing of the information identified above, this amendment does not modify or update the disclosure in the Original 10-Q Filing in any way. Unless otherwise specified or the context otherwise requires, when used in this Amendment No. 1, the terms “we,” “our,” “us,” “OptimizeRx,” or the “Company” refer to OptimizeRx Corporation and its subsidiaries.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concurrently filing Amendment No. 1 to each of its (i) Annual Report on Form 10-K for the year ended December 31, 2021 and (ii) Quarterly Reports on Form 10-Q for the quarterly periods ended March 31, 2022 and September 30, 2022.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disclosure controls and procedures designed to provide reasonable assurance that information required to be disclosed in reports filed or submitted under the Exchange Act is recorded, processed, summarized and reported within the time periods specified in the Securities and Exchange Commission’s rules and forms and accumulated and communicated to our management, including our Chief Executive Officer and Chief Financial Officer, or persons performing similar functions, as appropriate to allow timely decisions regarding required disclosures.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Company’s Original 10-Q Filing, our management, with the participation of our Chief Executive Officer and our Chief Financial Officer, conducted an evaluation, as of the end of the period covered by this report, of the effectiveness of our disclosure controls and procedures, as such term is defined in Exchange Act Rule 13a-15(e). Based on this evaluation, at the time of the Original 10-Q Filing, our Chief Executive Officer and our Chief Financial Officer concluded that, as of the end of the period covered by this report, our disclosure controls and procedures, as defined in Rule 13a-15(e), were effective at the reasonable assurance level.</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Subsequent to the filing of the Original 10-Q Filing and in connection with the filing of Amendment No. 1 to the Company’s Annual Report on Form 10-K for the year ended December 31, 2021, the Company’s management identified a material weakness in the Company’s internal control over financial reporting which is summarized below. As a result of its identification of the material weakness, management, under the supervision and with the participation of our Chief Executive Officer and our Chief Financial Officer, re-evaluated our disclosure controls and procedures and concluded such controls were not effective as of June 30, 2022.</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Notwithstanding the material weakness, our management has concluded, based on substantive testing performed, that the Company’s consolidated financial statements included in the Original 10-Q Filing fairly present in all material respects the Company's financial condition, results of operations and cash flows of the Company as of, and for, the periods presented in this report, in conformity with accounting principles generally accepted in the United States.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 in Internal Control over Financial Reporting</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Subsequent to the Original 10-Q Filing, our management identified the following material weakness existed as of June 30, 2022: inadequate controls to ensure that data received from third-party service organizations is complete and accurate.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for Remediation of Material Weakness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Management is actively engaged in the planning for, and implementation of, remediation efforts to address the material weakness identified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Management intends to implement the following remediation steps:</w:t>
      </w:r>
    </w:p>
    <w:p>
      <w:pPr>
        <w:spacing w:after="0" w:line="21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will require each third-party service organization to provide a SOC-1, Type 2 report to us.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a SOC-1, Type 2 report is not available, the Company will evaluate each third-party’s relevant system(s) and reporting directly through inquiry and substantive testing of such third-party’s control environment.</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Management believes the measures described above will remediate the material weakness that we have identified. As management continues to evaluate and improve our disclosure controls and procedures and internal control over financial reporting, the Company may decide to take additional measures to address control deficiencies or determine to modify, or in appropriate circumstances not to complete, certain of the remediation measures identified.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was no change in our internal control over financial reporting (as defined in Rule 13a-15(f) under the Exchange Act), that occurred during the quarter ended June 30, 2022 that has materially affected, or is reasonably likely to materially affect, our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 cost-effective control system, misstatements due to error or fraud may occur and not be detected. The Company conducts periodic evaluations of its internal controls to enhance, where necessary, its procedures and controls.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600" w:type="dxa"/>
            <w:vAlign w:val="bottom"/>
            <w:gridSpan w:val="2"/>
          </w:tcPr>
          <w:p>
            <w:pPr>
              <w:ind w:left="540"/>
              <w:spacing w:after="0"/>
              <w:rPr>
                <w:sz w:val="20"/>
                <w:szCs w:val="20"/>
                <w:color w:val="auto"/>
              </w:rPr>
            </w:pPr>
            <w:r>
              <w:rPr>
                <w:rFonts w:ascii="Arial" w:cs="Arial" w:eastAsia="Arial" w:hAnsi="Arial"/>
                <w:sz w:val="18"/>
                <w:szCs w:val="18"/>
                <w:b w:val="1"/>
                <w:bCs w:val="1"/>
                <w:color w:val="auto"/>
              </w:rPr>
              <w:t>PART II – OTHER INFORMATION</w:t>
            </w:r>
          </w:p>
        </w:tc>
        <w:tc>
          <w:tcPr>
            <w:tcW w:w="0" w:type="dxa"/>
            <w:vAlign w:val="bottom"/>
          </w:tcPr>
          <w:p>
            <w:pPr>
              <w:spacing w:after="0"/>
              <w:rPr>
                <w:sz w:val="1"/>
                <w:szCs w:val="1"/>
                <w:color w:val="auto"/>
              </w:rPr>
            </w:pPr>
          </w:p>
        </w:tc>
      </w:tr>
      <w:tr>
        <w:trPr>
          <w:trHeight w:val="234"/>
        </w:trPr>
        <w:tc>
          <w:tcPr>
            <w:tcW w:w="11260" w:type="dxa"/>
            <w:vAlign w:val="bottom"/>
            <w:gridSpan w:val="6"/>
          </w:tcPr>
          <w:p>
            <w:pPr>
              <w:spacing w:after="0"/>
              <w:rPr>
                <w:sz w:val="20"/>
                <w:szCs w:val="20"/>
                <w:color w:val="auto"/>
              </w:rPr>
            </w:pPr>
            <w:r>
              <w:rPr>
                <w:rFonts w:ascii="Arial" w:cs="Arial" w:eastAsia="Arial" w:hAnsi="Arial"/>
                <w:sz w:val="18"/>
                <w:szCs w:val="18"/>
                <w:b w:val="1"/>
                <w:bCs w:val="1"/>
                <w:color w:val="auto"/>
              </w:rPr>
              <w:t>Item 6. Exhibits</w:t>
            </w:r>
          </w:p>
        </w:tc>
        <w:tc>
          <w:tcPr>
            <w:tcW w:w="0" w:type="dxa"/>
            <w:vAlign w:val="bottom"/>
          </w:tcPr>
          <w:p>
            <w:pPr>
              <w:spacing w:after="0"/>
              <w:rPr>
                <w:sz w:val="1"/>
                <w:szCs w:val="1"/>
                <w:color w:val="auto"/>
              </w:rPr>
            </w:pPr>
          </w:p>
        </w:tc>
      </w:tr>
      <w:tr>
        <w:trPr>
          <w:trHeight w:val="41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120" w:type="dxa"/>
            <w:vAlign w:val="bottom"/>
            <w:gridSpan w:val="4"/>
          </w:tcPr>
          <w:p>
            <w:pPr>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1"/>
              </w:rPr>
              <w:t>Certification of Chief Executive Officer pursuant to 18 U.S.C. Section 1350, as adopted pursuant to Section 302 of the Sarbanes-Oxley Act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0000EE"/>
            </w:tcBorders>
            <w:shd w:val="clear" w:color="auto" w:fill="CCEEFF"/>
          </w:tcPr>
          <w:p>
            <w:pPr>
              <w:spacing w:after="0" w:line="196" w:lineRule="exact"/>
              <w:rPr>
                <w:sz w:val="20"/>
                <w:szCs w:val="20"/>
                <w:color w:val="auto"/>
              </w:rPr>
            </w:pPr>
            <w:r>
              <w:rPr>
                <w:rFonts w:ascii="Arial" w:cs="Arial" w:eastAsia="Arial" w:hAnsi="Arial"/>
                <w:sz w:val="18"/>
                <w:szCs w:val="18"/>
                <w:color w:val="0000EE"/>
                <w:w w:val="89"/>
              </w:rPr>
              <w:t>of 2002</w:t>
            </w:r>
          </w:p>
        </w:tc>
        <w:tc>
          <w:tcPr>
            <w:tcW w:w="9540" w:type="dxa"/>
            <w:vAlign w:val="bottom"/>
            <w:tcBorders>
              <w:bottom w:val="single" w:sz="8" w:color="CCEEFF"/>
            </w:tcBorders>
            <w:gridSpan w:val="2"/>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3"/>
          </w:tcPr>
          <w:p>
            <w:pPr>
              <w:spacing w:after="0" w:line="176" w:lineRule="exact"/>
              <w:rPr>
                <w:sz w:val="20"/>
                <w:szCs w:val="20"/>
                <w:color w:val="auto"/>
              </w:rPr>
            </w:pPr>
            <w:r>
              <w:rPr>
                <w:rFonts w:ascii="Arial" w:cs="Arial" w:eastAsia="Arial" w:hAnsi="Arial"/>
                <w:sz w:val="18"/>
                <w:szCs w:val="18"/>
                <w:color w:val="0000EE"/>
                <w:w w:val="92"/>
              </w:rPr>
              <w:t>Certification of Chief Financial Officer pursuant to 18 U.S.C. Section 1350, as adopted pursuant to Section 302 of the Sarbanes-Oxley Act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4"/>
          </w:tcPr>
          <w:p>
            <w:pPr>
              <w:spacing w:after="0" w:line="196" w:lineRule="exact"/>
              <w:rPr>
                <w:sz w:val="20"/>
                <w:szCs w:val="20"/>
                <w:color w:val="auto"/>
              </w:rPr>
            </w:pPr>
            <w:r>
              <w:rPr>
                <w:rFonts w:ascii="Arial" w:cs="Arial" w:eastAsia="Arial" w:hAnsi="Arial"/>
                <w:sz w:val="18"/>
                <w:szCs w:val="18"/>
                <w:color w:val="0000EE"/>
              </w:rPr>
              <w:t>of 2002</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1"/>
              </w:rPr>
              <w:t>Certification of Chief Executive Officer and Chief Financial Officer pursuant to 18 U.S.C. Section 1350, as adopted pursuant to Section 906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520" w:type="dxa"/>
            <w:vAlign w:val="bottom"/>
            <w:tcBorders>
              <w:bottom w:val="single" w:sz="8" w:color="0000EE"/>
            </w:tcBorders>
            <w:gridSpan w:val="2"/>
            <w:shd w:val="clear" w:color="auto" w:fill="CCEEFF"/>
          </w:tcPr>
          <w:p>
            <w:pPr>
              <w:spacing w:after="0" w:line="196" w:lineRule="exact"/>
              <w:rPr>
                <w:sz w:val="20"/>
                <w:szCs w:val="20"/>
                <w:color w:val="auto"/>
              </w:rPr>
            </w:pPr>
            <w:r>
              <w:rPr>
                <w:rFonts w:ascii="Arial" w:cs="Arial" w:eastAsia="Arial" w:hAnsi="Arial"/>
                <w:sz w:val="18"/>
                <w:szCs w:val="18"/>
                <w:color w:val="0000EE"/>
                <w:w w:val="90"/>
              </w:rPr>
              <w:t>of the Sarbanes-Oxley Act of 2002</w:t>
            </w:r>
          </w:p>
        </w:tc>
        <w:tc>
          <w:tcPr>
            <w:tcW w:w="758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3"/>
          </w:tcPr>
          <w:p>
            <w:pPr>
              <w:spacing w:after="0"/>
              <w:rPr>
                <w:sz w:val="20"/>
                <w:szCs w:val="20"/>
                <w:color w:val="auto"/>
              </w:rPr>
            </w:pPr>
            <w:r>
              <w:rPr>
                <w:rFonts w:ascii="Arial" w:cs="Arial" w:eastAsia="Arial" w:hAnsi="Arial"/>
                <w:sz w:val="18"/>
                <w:szCs w:val="18"/>
                <w:color w:val="auto"/>
              </w:rPr>
              <w:t>Inline XBRL Instance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3560" w:firstLine="8"/>
        <w:spacing w:after="0" w:line="509" w:lineRule="auto"/>
        <w:tabs>
          <w:tab w:leader="none" w:pos="1134"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Provided herewith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240" w:type="dxa"/>
            <w:vAlign w:val="bottom"/>
            <w:gridSpan w:val="2"/>
          </w:tcPr>
          <w:p>
            <w:pPr>
              <w:ind w:left="6760"/>
              <w:spacing w:after="0"/>
              <w:rPr>
                <w:sz w:val="20"/>
                <w:szCs w:val="20"/>
                <w:color w:val="auto"/>
              </w:rPr>
            </w:pPr>
            <w:r>
              <w:rPr>
                <w:rFonts w:ascii="Arial" w:cs="Arial" w:eastAsia="Arial" w:hAnsi="Arial"/>
                <w:sz w:val="18"/>
                <w:szCs w:val="18"/>
                <w:b w:val="1"/>
                <w:bCs w:val="1"/>
                <w:color w:val="auto"/>
              </w:rPr>
              <w:t>OptimizeRx Corporation</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Date: March 10, 2023</w:t>
            </w:r>
          </w:p>
        </w:tc>
        <w:tc>
          <w:tcPr>
            <w:tcW w:w="3920" w:type="dxa"/>
            <w:vAlign w:val="bottom"/>
          </w:tcPr>
          <w:p>
            <w:pPr>
              <w:spacing w:after="0"/>
              <w:rPr>
                <w:sz w:val="18"/>
                <w:szCs w:val="18"/>
                <w:color w:val="auto"/>
              </w:rPr>
            </w:pPr>
          </w:p>
        </w:tc>
      </w:tr>
      <w:tr>
        <w:trPr>
          <w:trHeight w:val="237"/>
        </w:trPr>
        <w:tc>
          <w:tcPr>
            <w:tcW w:w="7320" w:type="dxa"/>
            <w:vAlign w:val="bottom"/>
          </w:tcPr>
          <w:p>
            <w:pPr>
              <w:ind w:left="67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r>
      <w:tr>
        <w:trPr>
          <w:trHeight w:val="198"/>
        </w:trPr>
        <w:tc>
          <w:tcPr>
            <w:tcW w:w="7320" w:type="dxa"/>
            <w:vAlign w:val="bottom"/>
          </w:tcPr>
          <w:p>
            <w:pPr>
              <w:spacing w:after="0"/>
              <w:rPr>
                <w:sz w:val="17"/>
                <w:szCs w:val="17"/>
                <w:color w:val="auto"/>
              </w:rPr>
            </w:pPr>
          </w:p>
        </w:tc>
        <w:tc>
          <w:tcPr>
            <w:tcW w:w="3920" w:type="dxa"/>
            <w:vAlign w:val="bottom"/>
          </w:tcPr>
          <w:p>
            <w:pPr>
              <w:spacing w:after="0" w:line="198" w:lineRule="exact"/>
              <w:rPr>
                <w:sz w:val="20"/>
                <w:szCs w:val="20"/>
                <w:color w:val="auto"/>
              </w:rPr>
            </w:pPr>
            <w:r>
              <w:rPr>
                <w:rFonts w:ascii="Arial" w:cs="Arial" w:eastAsia="Arial" w:hAnsi="Arial"/>
                <w:sz w:val="18"/>
                <w:szCs w:val="18"/>
                <w:color w:val="auto"/>
              </w:rPr>
              <w:t>William J. Febbo</w:t>
            </w:r>
          </w:p>
        </w:tc>
      </w:tr>
      <w:tr>
        <w:trPr>
          <w:trHeight w:val="216"/>
        </w:trPr>
        <w:tc>
          <w:tcPr>
            <w:tcW w:w="7320" w:type="dxa"/>
            <w:vAlign w:val="bottom"/>
          </w:tcPr>
          <w:p>
            <w:pPr>
              <w:ind w:left="67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b w:val="1"/>
                <w:bCs w:val="1"/>
                <w:color w:val="auto"/>
              </w:rPr>
              <w:t>Chief Executive Officer</w:t>
            </w:r>
          </w:p>
        </w:tc>
      </w:tr>
      <w:tr>
        <w:trPr>
          <w:trHeight w:val="234"/>
        </w:trPr>
        <w:tc>
          <w:tcPr>
            <w:tcW w:w="7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(principal executive officer)</w:t>
            </w:r>
          </w:p>
        </w:tc>
      </w:tr>
      <w:tr>
        <w:trPr>
          <w:trHeight w:val="418"/>
        </w:trPr>
        <w:tc>
          <w:tcPr>
            <w:tcW w:w="11240" w:type="dxa"/>
            <w:vAlign w:val="bottom"/>
            <w:gridSpan w:val="2"/>
          </w:tcPr>
          <w:p>
            <w:pPr>
              <w:ind w:left="6760"/>
              <w:spacing w:after="0"/>
              <w:rPr>
                <w:sz w:val="20"/>
                <w:szCs w:val="20"/>
                <w:color w:val="auto"/>
              </w:rPr>
            </w:pPr>
            <w:r>
              <w:rPr>
                <w:rFonts w:ascii="Arial" w:cs="Arial" w:eastAsia="Arial" w:hAnsi="Arial"/>
                <w:sz w:val="18"/>
                <w:szCs w:val="18"/>
                <w:b w:val="1"/>
                <w:bCs w:val="1"/>
                <w:color w:val="auto"/>
              </w:rPr>
              <w:t>OptimizeRx Corporation</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Date: March 10, 2023</w:t>
            </w:r>
          </w:p>
        </w:tc>
        <w:tc>
          <w:tcPr>
            <w:tcW w:w="3920" w:type="dxa"/>
            <w:vAlign w:val="bottom"/>
          </w:tcPr>
          <w:p>
            <w:pPr>
              <w:spacing w:after="0"/>
              <w:rPr>
                <w:sz w:val="18"/>
                <w:szCs w:val="18"/>
                <w:color w:val="auto"/>
              </w:rPr>
            </w:pPr>
          </w:p>
        </w:tc>
      </w:tr>
      <w:tr>
        <w:trPr>
          <w:trHeight w:val="237"/>
        </w:trPr>
        <w:tc>
          <w:tcPr>
            <w:tcW w:w="7320" w:type="dxa"/>
            <w:vAlign w:val="bottom"/>
          </w:tcPr>
          <w:p>
            <w:pPr>
              <w:ind w:left="67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Stelmakh</w:t>
            </w:r>
          </w:p>
        </w:tc>
      </w:tr>
      <w:tr>
        <w:trPr>
          <w:trHeight w:val="198"/>
        </w:trPr>
        <w:tc>
          <w:tcPr>
            <w:tcW w:w="7320" w:type="dxa"/>
            <w:vAlign w:val="bottom"/>
          </w:tcPr>
          <w:p>
            <w:pPr>
              <w:spacing w:after="0"/>
              <w:rPr>
                <w:sz w:val="17"/>
                <w:szCs w:val="17"/>
                <w:color w:val="auto"/>
              </w:rPr>
            </w:pPr>
          </w:p>
        </w:tc>
        <w:tc>
          <w:tcPr>
            <w:tcW w:w="3920" w:type="dxa"/>
            <w:vAlign w:val="bottom"/>
          </w:tcPr>
          <w:p>
            <w:pPr>
              <w:spacing w:after="0" w:line="198" w:lineRule="exact"/>
              <w:rPr>
                <w:sz w:val="20"/>
                <w:szCs w:val="20"/>
                <w:color w:val="auto"/>
              </w:rPr>
            </w:pPr>
            <w:r>
              <w:rPr>
                <w:rFonts w:ascii="Arial" w:cs="Arial" w:eastAsia="Arial" w:hAnsi="Arial"/>
                <w:sz w:val="18"/>
                <w:szCs w:val="18"/>
                <w:color w:val="auto"/>
              </w:rPr>
              <w:t>Edward Stelmakh</w:t>
            </w:r>
          </w:p>
        </w:tc>
      </w:tr>
      <w:tr>
        <w:trPr>
          <w:trHeight w:val="216"/>
        </w:trPr>
        <w:tc>
          <w:tcPr>
            <w:tcW w:w="7320" w:type="dxa"/>
            <w:vAlign w:val="bottom"/>
          </w:tcPr>
          <w:p>
            <w:pPr>
              <w:ind w:left="67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b w:val="1"/>
                <w:bCs w:val="1"/>
                <w:color w:val="auto"/>
              </w:rPr>
              <w:t>Chief Financial Officer and</w:t>
            </w:r>
          </w:p>
        </w:tc>
      </w:tr>
      <w:tr>
        <w:trPr>
          <w:trHeight w:val="216"/>
        </w:trPr>
        <w:tc>
          <w:tcPr>
            <w:tcW w:w="73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Chief Operations Officer</w:t>
            </w:r>
          </w:p>
        </w:tc>
      </w:tr>
      <w:tr>
        <w:trPr>
          <w:trHeight w:val="234"/>
        </w:trPr>
        <w:tc>
          <w:tcPr>
            <w:tcW w:w="7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(principal financial and accounting officer)</w:t>
            </w:r>
          </w:p>
        </w:tc>
      </w:tr>
      <w:tr>
        <w:trPr>
          <w:trHeight w:val="655"/>
        </w:trPr>
        <w:tc>
          <w:tcPr>
            <w:tcW w:w="732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3</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William J. Febbo, certify that;</w:t>
      </w:r>
    </w:p>
    <w:p>
      <w:pPr>
        <w:spacing w:after="0" w:line="18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for the quarter ended June 30, 2022 of OptimizeRx Corp (the “registrant”);</w:t>
      </w:r>
    </w:p>
    <w:p>
      <w:pPr>
        <w:spacing w:after="0" w:line="184"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540" w:hanging="168"/>
        <w:spacing w:after="0" w:line="263" w:lineRule="auto"/>
        <w:tabs>
          <w:tab w:leader="none" w:pos="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540" w:hanging="168"/>
        <w:spacing w:after="0" w:line="263" w:lineRule="auto"/>
        <w:tabs>
          <w:tab w:leader="none" w:pos="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540" w:right="20" w:hanging="168"/>
        <w:spacing w:after="0" w:line="308" w:lineRule="auto"/>
        <w:tabs>
          <w:tab w:leader="none" w:pos="540"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540" w:hanging="168"/>
        <w:spacing w:after="0" w:line="263" w:lineRule="auto"/>
        <w:tabs>
          <w:tab w:leader="none" w:pos="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540" w:hanging="168"/>
        <w:spacing w:after="0" w:line="277" w:lineRule="auto"/>
        <w:tabs>
          <w:tab w:leader="none" w:pos="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40" w:hanging="168"/>
        <w:spacing w:after="0" w:line="277" w:lineRule="auto"/>
        <w:tabs>
          <w:tab w:leader="none" w:pos="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830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By: William J. Febbo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Edward Stelmakh certify that;</w:t>
      </w:r>
    </w:p>
    <w:p>
      <w:pPr>
        <w:spacing w:after="0" w:line="18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for the quarter ended June 30, 2022 of OptimizeRx Corp (the “registrant”);</w:t>
      </w:r>
    </w:p>
    <w:p>
      <w:pPr>
        <w:spacing w:after="0" w:line="184"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540" w:hanging="168"/>
        <w:spacing w:after="0" w:line="263" w:lineRule="auto"/>
        <w:tabs>
          <w:tab w:leader="none" w:pos="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540" w:hanging="168"/>
        <w:spacing w:after="0" w:line="263" w:lineRule="auto"/>
        <w:tabs>
          <w:tab w:leader="none" w:pos="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540" w:right="20" w:hanging="168"/>
        <w:spacing w:after="0" w:line="308" w:lineRule="auto"/>
        <w:tabs>
          <w:tab w:leader="none" w:pos="540"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540" w:hanging="168"/>
        <w:spacing w:after="0" w:line="263" w:lineRule="auto"/>
        <w:tabs>
          <w:tab w:leader="none" w:pos="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540" w:hanging="168"/>
        <w:spacing w:after="0" w:line="277" w:lineRule="auto"/>
        <w:tabs>
          <w:tab w:leader="none" w:pos="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40" w:hanging="168"/>
        <w:spacing w:after="0" w:line="277" w:lineRule="auto"/>
        <w:tabs>
          <w:tab w:leader="none" w:pos="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Edward Stelmakh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14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By: Edward Stelmakh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OptimizeRx Corp (the “Company”) on Form 10-Q/A for the quarter ended June 30, 2022 filed with the Securities and Exchange Commission (the “Report”), I, Will Febbo, Chief Executive Officer and I, Edward Stelmakh, Chief Financial Officer of the Company, certify, pursuant to 18 U.S.C. Section 1350, as adopted pursuant to Section 906 of the Sarbanes-Oxley Act of 2002, that:</w:t>
      </w:r>
    </w:p>
    <w:p>
      <w:pPr>
        <w:spacing w:after="0" w:line="125"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84"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By:</w:t>
            </w:r>
          </w:p>
        </w:tc>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J Febbo</w:t>
            </w:r>
          </w:p>
        </w:tc>
      </w:tr>
      <w:tr>
        <w:trPr>
          <w:trHeight w:val="195"/>
        </w:trPr>
        <w:tc>
          <w:tcPr>
            <w:tcW w:w="12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580" w:type="dxa"/>
            <w:vAlign w:val="bottom"/>
          </w:tcPr>
          <w:p>
            <w:pPr>
              <w:ind w:left="20"/>
              <w:spacing w:after="0" w:line="195" w:lineRule="exact"/>
              <w:rPr>
                <w:sz w:val="20"/>
                <w:szCs w:val="20"/>
                <w:color w:val="auto"/>
              </w:rPr>
            </w:pPr>
            <w:r>
              <w:rPr>
                <w:rFonts w:ascii="Arial" w:cs="Arial" w:eastAsia="Arial" w:hAnsi="Arial"/>
                <w:sz w:val="18"/>
                <w:szCs w:val="18"/>
                <w:color w:val="auto"/>
              </w:rPr>
              <w:t>Willian J Febbo</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Title:</w:t>
            </w:r>
          </w:p>
        </w:tc>
        <w:tc>
          <w:tcPr>
            <w:tcW w:w="25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Date:</w:t>
            </w:r>
          </w:p>
        </w:tc>
        <w:tc>
          <w:tcPr>
            <w:tcW w:w="2580" w:type="dxa"/>
            <w:vAlign w:val="bottom"/>
          </w:tcPr>
          <w:p>
            <w:pPr>
              <w:ind w:left="20"/>
              <w:spacing w:after="0"/>
              <w:rPr>
                <w:sz w:val="20"/>
                <w:szCs w:val="20"/>
                <w:color w:val="auto"/>
              </w:rPr>
            </w:pPr>
            <w:r>
              <w:rPr>
                <w:rFonts w:ascii="Arial" w:cs="Arial" w:eastAsia="Arial" w:hAnsi="Arial"/>
                <w:sz w:val="18"/>
                <w:szCs w:val="18"/>
                <w:color w:val="auto"/>
              </w:rPr>
              <w:t>March 10, 2023</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By:</w:t>
            </w:r>
          </w:p>
        </w:tc>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Edward Stelmakh</w:t>
            </w:r>
          </w:p>
        </w:tc>
      </w:tr>
      <w:tr>
        <w:trPr>
          <w:trHeight w:val="195"/>
        </w:trPr>
        <w:tc>
          <w:tcPr>
            <w:tcW w:w="12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580" w:type="dxa"/>
            <w:vAlign w:val="bottom"/>
          </w:tcPr>
          <w:p>
            <w:pPr>
              <w:ind w:left="20"/>
              <w:spacing w:after="0" w:line="195" w:lineRule="exact"/>
              <w:rPr>
                <w:sz w:val="20"/>
                <w:szCs w:val="20"/>
                <w:color w:val="auto"/>
              </w:rPr>
            </w:pPr>
            <w:r>
              <w:rPr>
                <w:rFonts w:ascii="Arial" w:cs="Arial" w:eastAsia="Arial" w:hAnsi="Arial"/>
                <w:sz w:val="18"/>
                <w:szCs w:val="18"/>
                <w:color w:val="auto"/>
              </w:rPr>
              <w:t>Edward Stelmakh</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Title:</w:t>
            </w:r>
          </w:p>
        </w:tc>
        <w:tc>
          <w:tcPr>
            <w:tcW w:w="25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Date:</w:t>
            </w:r>
          </w:p>
        </w:tc>
        <w:tc>
          <w:tcPr>
            <w:tcW w:w="2580" w:type="dxa"/>
            <w:vAlign w:val="bottom"/>
          </w:tcPr>
          <w:p>
            <w:pPr>
              <w:ind w:left="20"/>
              <w:spacing w:after="0"/>
              <w:rPr>
                <w:sz w:val="20"/>
                <w:szCs w:val="20"/>
                <w:color w:val="auto"/>
              </w:rPr>
            </w:pPr>
            <w:r>
              <w:rPr>
                <w:rFonts w:ascii="Arial" w:cs="Arial" w:eastAsia="Arial" w:hAnsi="Arial"/>
                <w:sz w:val="18"/>
                <w:szCs w:val="18"/>
                <w:color w:val="auto"/>
              </w:rPr>
              <w:t>March 10, 2023</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04"/>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2023-03-10T17:06:31Z</dcterms:created>
  <dcterms:modified xsi:type="dcterms:W3CDTF">2023-03-10T17:06:31Z</dcterms:modified>
</cp:coreProperties>
</file>