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OPTIMIZERX CORPORATION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$0.001 Per Share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68401U105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Shawn Turner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Holland &amp; Knight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1801 California Street, Suite 5000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Denver, Colorado 80202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(303) 974-6660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and Telephone Number of Person Authorized to Receive Notices and Communications)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February 17, 2021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 (f)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13d-7 for other parties to whom copies are being sent.</w:t>
      </w:r>
    </w:p>
    <w:p>
      <w:pPr>
        <w:spacing w:after="0" w:line="162"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4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68401U105</w:t>
      </w:r>
    </w:p>
    <w:p>
      <w:pPr>
        <w:spacing w:after="0" w:line="200" w:lineRule="exact"/>
        <w:rPr>
          <w:sz w:val="20"/>
          <w:szCs w:val="20"/>
          <w:color w:val="auto"/>
        </w:rPr>
      </w:pPr>
    </w:p>
    <w:p>
      <w:pPr>
        <w:spacing w:after="0" w:line="255" w:lineRule="exact"/>
        <w:rPr>
          <w:sz w:val="20"/>
          <w:szCs w:val="20"/>
          <w:color w:val="auto"/>
        </w:rPr>
      </w:pPr>
    </w:p>
    <w:p>
      <w:pPr>
        <w:ind w:left="540" w:hanging="285"/>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5640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0575" cy="5640705"/>
                    </a:xfrm>
                    <a:prstGeom prst="rect">
                      <a:avLst/>
                    </a:prstGeom>
                    <a:noFill/>
                  </pic:spPr>
                </pic:pic>
              </a:graphicData>
            </a:graphic>
          </wp:anchor>
        </w:drawing>
      </w:r>
    </w:p>
    <w:p>
      <w:pPr>
        <w:spacing w:after="0" w:line="20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Individual Retirement Accounts for the benefit of Ronald L. Chez, the Chez Family Foundation and Ronald L. Chez Individually</w:t>
      </w:r>
    </w:p>
    <w:p>
      <w:pPr>
        <w:spacing w:after="0" w:line="27" w:lineRule="exact"/>
        <w:rPr>
          <w:sz w:val="20"/>
          <w:szCs w:val="20"/>
          <w:color w:val="auto"/>
        </w:rPr>
      </w:pPr>
    </w:p>
    <w:p>
      <w:pPr>
        <w:ind w:left="540" w:hanging="285"/>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8" w:lineRule="exact"/>
        <w:rPr>
          <w:sz w:val="20"/>
          <w:szCs w:val="20"/>
          <w:color w:val="auto"/>
        </w:rPr>
      </w:pPr>
    </w:p>
    <w:p>
      <w:pPr>
        <w:ind w:left="540"/>
        <w:spacing w:after="0" w:line="207" w:lineRule="exact"/>
        <w:tabs>
          <w:tab w:leader="none" w:pos="132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25" w:lineRule="exact"/>
        <w:rPr>
          <w:sz w:val="20"/>
          <w:szCs w:val="20"/>
          <w:color w:val="auto"/>
        </w:rPr>
      </w:pPr>
    </w:p>
    <w:p>
      <w:pPr>
        <w:ind w:left="540" w:hanging="285"/>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39" w:lineRule="exact"/>
        <w:rPr>
          <w:sz w:val="20"/>
          <w:szCs w:val="20"/>
          <w:color w:val="auto"/>
        </w:rPr>
      </w:pPr>
    </w:p>
    <w:p>
      <w:pPr>
        <w:ind w:left="540" w:hanging="285"/>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PF</w:t>
      </w:r>
    </w:p>
    <w:p>
      <w:pPr>
        <w:spacing w:after="0" w:line="27" w:lineRule="exact"/>
        <w:rPr>
          <w:sz w:val="20"/>
          <w:szCs w:val="20"/>
          <w:color w:val="auto"/>
        </w:rPr>
      </w:pPr>
    </w:p>
    <w:p>
      <w:pPr>
        <w:ind w:left="260"/>
        <w:spacing w:after="0" w:line="207" w:lineRule="exact"/>
        <w:tabs>
          <w:tab w:leader="none" w:pos="520" w:val="left"/>
          <w:tab w:leader="none" w:pos="6880" w:val="left"/>
        </w:tabs>
        <w:rPr>
          <w:sz w:val="20"/>
          <w:szCs w:val="20"/>
          <w:color w:val="auto"/>
        </w:rPr>
      </w:pPr>
      <w:r>
        <w:rPr>
          <w:rFonts w:ascii="Times New Roman" w:cs="Times New Roman" w:eastAsia="Times New Roman" w:hAnsi="Times New Roman"/>
          <w:sz w:val="18"/>
          <w:szCs w:val="18"/>
          <w:color w:val="auto"/>
        </w:rPr>
        <w:t>5</w:t>
        <w:tab/>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34" w:lineRule="exact"/>
        <w:rPr>
          <w:sz w:val="20"/>
          <w:szCs w:val="20"/>
          <w:color w:val="auto"/>
        </w:rPr>
      </w:pPr>
    </w:p>
    <w:p>
      <w:pPr>
        <w:ind w:left="540" w:hanging="285"/>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Borders>
              <w:top w:val="single" w:sz="8" w:color="auto"/>
              <w:right w:val="single" w:sz="8" w:color="auto"/>
            </w:tcBorders>
          </w:tcPr>
          <w:p>
            <w:pPr>
              <w:spacing w:after="0"/>
              <w:rPr>
                <w:sz w:val="20"/>
                <w:szCs w:val="20"/>
                <w:color w:val="auto"/>
              </w:rPr>
            </w:pPr>
          </w:p>
        </w:tc>
        <w:tc>
          <w:tcPr>
            <w:tcW w:w="3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6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94"/>
        </w:trPr>
        <w:tc>
          <w:tcPr>
            <w:tcW w:w="128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right w:val="single" w:sz="8" w:color="auto"/>
            </w:tcBorders>
          </w:tcPr>
          <w:p>
            <w:pPr>
              <w:spacing w:after="0"/>
              <w:rPr>
                <w:sz w:val="24"/>
                <w:szCs w:val="24"/>
                <w:color w:val="auto"/>
              </w:rPr>
            </w:pPr>
          </w:p>
        </w:tc>
        <w:tc>
          <w:tcPr>
            <w:tcW w:w="9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858,500</w:t>
            </w:r>
          </w:p>
        </w:tc>
        <w:tc>
          <w:tcPr>
            <w:tcW w:w="0" w:type="dxa"/>
            <w:vAlign w:val="bottom"/>
          </w:tcPr>
          <w:p>
            <w:pPr>
              <w:spacing w:after="0"/>
              <w:rPr>
                <w:sz w:val="1"/>
                <w:szCs w:val="1"/>
                <w:color w:val="auto"/>
              </w:rPr>
            </w:pPr>
          </w:p>
        </w:tc>
      </w:tr>
      <w:tr>
        <w:trPr>
          <w:trHeight w:val="113"/>
        </w:trPr>
        <w:tc>
          <w:tcPr>
            <w:tcW w:w="128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shares</w:t>
            </w:r>
          </w:p>
        </w:tc>
        <w:tc>
          <w:tcPr>
            <w:tcW w:w="320" w:type="dxa"/>
            <w:vAlign w:val="bottom"/>
            <w:tcBorders>
              <w:bottom w:val="single" w:sz="8" w:color="auto"/>
              <w:right w:val="single" w:sz="8" w:color="auto"/>
            </w:tcBorders>
          </w:tcPr>
          <w:p>
            <w:pPr>
              <w:spacing w:after="0"/>
              <w:rPr>
                <w:sz w:val="9"/>
                <w:szCs w:val="9"/>
                <w:color w:val="auto"/>
              </w:rPr>
            </w:pPr>
          </w:p>
        </w:tc>
        <w:tc>
          <w:tcPr>
            <w:tcW w:w="96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1280" w:type="dxa"/>
            <w:vAlign w:val="bottom"/>
            <w:tcBorders>
              <w:right w:val="single" w:sz="8" w:color="auto"/>
            </w:tcBorders>
            <w:vMerge w:val="continue"/>
          </w:tcPr>
          <w:p>
            <w:pPr>
              <w:spacing w:after="0"/>
              <w:rPr>
                <w:sz w:val="7"/>
                <w:szCs w:val="7"/>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9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5"/>
        </w:trPr>
        <w:tc>
          <w:tcPr>
            <w:tcW w:w="128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beneficially</w:t>
            </w:r>
          </w:p>
        </w:tc>
        <w:tc>
          <w:tcPr>
            <w:tcW w:w="320" w:type="dxa"/>
            <w:vAlign w:val="bottom"/>
            <w:tcBorders>
              <w:right w:val="single" w:sz="8" w:color="auto"/>
            </w:tcBorders>
            <w:vMerge w:val="continue"/>
          </w:tcPr>
          <w:p>
            <w:pPr>
              <w:spacing w:after="0"/>
              <w:rPr>
                <w:sz w:val="12"/>
                <w:szCs w:val="12"/>
                <w:color w:val="auto"/>
              </w:rPr>
            </w:pPr>
          </w:p>
        </w:tc>
        <w:tc>
          <w:tcPr>
            <w:tcW w:w="9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280" w:type="dxa"/>
            <w:vAlign w:val="bottom"/>
            <w:tcBorders>
              <w:right w:val="single" w:sz="8" w:color="auto"/>
            </w:tcBorders>
            <w:vMerge w:val="continue"/>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9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6"/>
        </w:trPr>
        <w:tc>
          <w:tcPr>
            <w:tcW w:w="128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rPr>
              <w:t>each</w:t>
            </w:r>
          </w:p>
        </w:tc>
        <w:tc>
          <w:tcPr>
            <w:tcW w:w="320" w:type="dxa"/>
            <w:vAlign w:val="bottom"/>
            <w:tcBorders>
              <w:bottom w:val="single" w:sz="8" w:color="auto"/>
              <w:right w:val="single" w:sz="8" w:color="auto"/>
            </w:tcBorders>
          </w:tcPr>
          <w:p>
            <w:pPr>
              <w:spacing w:after="0"/>
              <w:rPr>
                <w:sz w:val="10"/>
                <w:szCs w:val="10"/>
                <w:color w:val="auto"/>
              </w:rPr>
            </w:pPr>
          </w:p>
        </w:tc>
        <w:tc>
          <w:tcPr>
            <w:tcW w:w="96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80" w:type="dxa"/>
            <w:vAlign w:val="bottom"/>
            <w:tcBorders>
              <w:right w:val="single" w:sz="8" w:color="auto"/>
            </w:tcBorders>
            <w:vMerge w:val="continue"/>
          </w:tcPr>
          <w:p>
            <w:pPr>
              <w:spacing w:after="0"/>
              <w:rPr>
                <w:sz w:val="6"/>
                <w:szCs w:val="6"/>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280" w:type="dxa"/>
            <w:vAlign w:val="bottom"/>
            <w:tcBorders>
              <w:right w:val="single" w:sz="8" w:color="auto"/>
            </w:tcBorders>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280" w:type="dxa"/>
            <w:vAlign w:val="bottom"/>
            <w:tcBorders>
              <w:right w:val="single" w:sz="8" w:color="auto"/>
            </w:tcBorders>
            <w:vMerge w:val="continue"/>
          </w:tcPr>
          <w:p>
            <w:pPr>
              <w:spacing w:after="0"/>
              <w:rPr>
                <w:sz w:val="5"/>
                <w:szCs w:val="5"/>
                <w:color w:val="auto"/>
              </w:rPr>
            </w:pPr>
          </w:p>
        </w:tc>
        <w:tc>
          <w:tcPr>
            <w:tcW w:w="320" w:type="dxa"/>
            <w:vAlign w:val="bottom"/>
            <w:tcBorders>
              <w:right w:val="single" w:sz="8" w:color="auto"/>
            </w:tcBorders>
          </w:tcPr>
          <w:p>
            <w:pPr>
              <w:spacing w:after="0"/>
              <w:rPr>
                <w:sz w:val="5"/>
                <w:szCs w:val="5"/>
                <w:color w:val="auto"/>
              </w:rPr>
            </w:pPr>
          </w:p>
        </w:tc>
        <w:tc>
          <w:tcPr>
            <w:tcW w:w="9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80" w:type="dxa"/>
            <w:vAlign w:val="bottom"/>
            <w:tcBorders>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9"/>
              </w:rPr>
              <w:t>person</w:t>
            </w:r>
          </w:p>
        </w:tc>
        <w:tc>
          <w:tcPr>
            <w:tcW w:w="320" w:type="dxa"/>
            <w:vAlign w:val="bottom"/>
            <w:tcBorders>
              <w:right w:val="single" w:sz="8" w:color="auto"/>
            </w:tcBorders>
          </w:tcPr>
          <w:p>
            <w:pPr>
              <w:spacing w:after="0"/>
              <w:rPr>
                <w:sz w:val="18"/>
                <w:szCs w:val="18"/>
                <w:color w:val="auto"/>
              </w:rPr>
            </w:pPr>
          </w:p>
        </w:tc>
        <w:tc>
          <w:tcPr>
            <w:tcW w:w="9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858,500</w:t>
            </w:r>
          </w:p>
        </w:tc>
        <w:tc>
          <w:tcPr>
            <w:tcW w:w="0" w:type="dxa"/>
            <w:vAlign w:val="bottom"/>
          </w:tcPr>
          <w:p>
            <w:pPr>
              <w:spacing w:after="0"/>
              <w:rPr>
                <w:sz w:val="1"/>
                <w:szCs w:val="1"/>
                <w:color w:val="auto"/>
              </w:rPr>
            </w:pPr>
          </w:p>
        </w:tc>
      </w:tr>
      <w:tr>
        <w:trPr>
          <w:trHeight w:val="140"/>
        </w:trPr>
        <w:tc>
          <w:tcPr>
            <w:tcW w:w="1280" w:type="dxa"/>
            <w:vAlign w:val="bottom"/>
            <w:tcBorders>
              <w:righ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right w:val="single" w:sz="8" w:color="auto"/>
            </w:tcBorders>
          </w:tcPr>
          <w:p>
            <w:pPr>
              <w:spacing w:after="0"/>
              <w:rPr>
                <w:sz w:val="12"/>
                <w:szCs w:val="12"/>
                <w:color w:val="auto"/>
              </w:rPr>
            </w:pPr>
          </w:p>
        </w:tc>
        <w:tc>
          <w:tcPr>
            <w:tcW w:w="9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280" w:type="dxa"/>
            <w:vAlign w:val="bottom"/>
            <w:tcBorders>
              <w:right w:val="single" w:sz="8" w:color="auto"/>
            </w:tcBorders>
            <w:vMerge w:val="continue"/>
          </w:tcPr>
          <w:p>
            <w:pPr>
              <w:spacing w:after="0"/>
              <w:rPr>
                <w:sz w:val="6"/>
                <w:szCs w:val="6"/>
                <w:color w:val="auto"/>
              </w:rPr>
            </w:pPr>
          </w:p>
        </w:tc>
        <w:tc>
          <w:tcPr>
            <w:tcW w:w="3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6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53"/>
        </w:trPr>
        <w:tc>
          <w:tcPr>
            <w:tcW w:w="1280" w:type="dxa"/>
            <w:vAlign w:val="bottom"/>
            <w:tcBorders>
              <w:right w:val="single" w:sz="8" w:color="auto"/>
            </w:tcBorders>
          </w:tcPr>
          <w:p>
            <w:pPr>
              <w:spacing w:after="0"/>
              <w:rPr>
                <w:sz w:val="13"/>
                <w:szCs w:val="13"/>
                <w:color w:val="auto"/>
              </w:rPr>
            </w:pPr>
          </w:p>
        </w:tc>
        <w:tc>
          <w:tcPr>
            <w:tcW w:w="320" w:type="dxa"/>
            <w:vAlign w:val="bottom"/>
            <w:tcBorders>
              <w:right w:val="single" w:sz="8" w:color="auto"/>
            </w:tcBorders>
            <w:vMerge w:val="continue"/>
          </w:tcPr>
          <w:p>
            <w:pPr>
              <w:spacing w:after="0"/>
              <w:rPr>
                <w:sz w:val="13"/>
                <w:szCs w:val="13"/>
                <w:color w:val="auto"/>
              </w:rPr>
            </w:pPr>
          </w:p>
        </w:tc>
        <w:tc>
          <w:tcPr>
            <w:tcW w:w="9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14"/>
        </w:trPr>
        <w:tc>
          <w:tcPr>
            <w:tcW w:w="128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6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8"/>
        </w:trPr>
        <w:tc>
          <w:tcPr>
            <w:tcW w:w="11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11  Aggregate amount beneficially owned by each reporting person</w:t>
            </w:r>
          </w:p>
        </w:tc>
        <w:tc>
          <w:tcPr>
            <w:tcW w:w="0" w:type="dxa"/>
            <w:vAlign w:val="bottom"/>
          </w:tcPr>
          <w:p>
            <w:pPr>
              <w:spacing w:after="0"/>
              <w:rPr>
                <w:sz w:val="1"/>
                <w:szCs w:val="1"/>
                <w:color w:val="auto"/>
              </w:rPr>
            </w:pPr>
          </w:p>
        </w:tc>
      </w:tr>
      <w:tr>
        <w:trPr>
          <w:trHeight w:val="414"/>
        </w:trPr>
        <w:tc>
          <w:tcPr>
            <w:tcW w:w="1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858,500</w:t>
            </w:r>
          </w:p>
        </w:tc>
        <w:tc>
          <w:tcPr>
            <w:tcW w:w="320" w:type="dxa"/>
            <w:vAlign w:val="bottom"/>
            <w:tcBorders>
              <w:bottom w:val="single" w:sz="8" w:color="auto"/>
            </w:tcBorders>
          </w:tcPr>
          <w:p>
            <w:pPr>
              <w:spacing w:after="0"/>
              <w:rPr>
                <w:sz w:val="24"/>
                <w:szCs w:val="24"/>
                <w:color w:val="auto"/>
              </w:rPr>
            </w:pPr>
          </w:p>
        </w:tc>
        <w:tc>
          <w:tcPr>
            <w:tcW w:w="9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260" w:type="dxa"/>
            <w:vAlign w:val="bottom"/>
            <w:gridSpan w:val="3"/>
          </w:tcPr>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12  Check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540" w:right="7000" w:hanging="375"/>
        <w:spacing w:after="0" w:line="320" w:lineRule="auto"/>
        <w:tabs>
          <w:tab w:leader="none" w:pos="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5.7%</w:t>
      </w:r>
      <w:r>
        <w:rPr>
          <w:rFonts w:ascii="Times New Roman" w:cs="Times New Roman" w:eastAsia="Times New Roman" w:hAnsi="Times New Roman"/>
          <w:sz w:val="29"/>
          <w:szCs w:val="29"/>
          <w:color w:val="auto"/>
          <w:vertAlign w:val="superscript"/>
        </w:rPr>
        <w:t>(1)</w:t>
      </w:r>
    </w:p>
    <w:p>
      <w:pPr>
        <w:spacing w:after="0" w:line="1" w:lineRule="exact"/>
        <w:rPr>
          <w:rFonts w:ascii="Times New Roman" w:cs="Times New Roman" w:eastAsia="Times New Roman" w:hAnsi="Times New Roman"/>
          <w:sz w:val="18"/>
          <w:szCs w:val="18"/>
          <w:color w:val="auto"/>
        </w:rPr>
      </w:pPr>
    </w:p>
    <w:p>
      <w:pPr>
        <w:ind w:left="540" w:hanging="375"/>
        <w:spacing w:after="0"/>
        <w:tabs>
          <w:tab w:leader="none" w:pos="5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05"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8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undersigned Ronald L. Chez (the “Reporting Person”) hereby amends his statement on Schedule 13D dated as of February 5, 2015 as amended by Amendment No. 1 to Schedule 13D dated March 25, 2015, Amendment No. 2 to Schedule 13D dated October 27, 2015 and Amendment No. 3 to Schedule 13D dated September 27, 2019 (collectively, the “Schedule 13D”). This statement constitutes Amendment No. 4 to the Schedule 13D. The purpose of this Amendment No. 4 is to report a greater than 1% change in ownership of the Company’s Common Stock by the Reporting Person. Unless otherwise indicated herein, there are no material changes to the information set forth in the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jc w:val="both"/>
        <w:ind w:firstLine="8"/>
        <w:spacing w:after="0" w:line="266" w:lineRule="auto"/>
        <w:tabs>
          <w:tab w:leader="none" w:pos="25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relates to 858,500 shares of Common Stock owned by the Reporting Person. Based on the Company’s Quarterly Report on Form 10-Q filed on November 9, 2020, 15,108,646 shares of Common Stock were outstanding as of November 5, 2020. Therefore, the 858,500 shares of Common Stock reported on this Schedule 13D represent approximately 5.7% of the Company’s shares issued and outstanding shares.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has the sole power (and no shared power) to vote, dispose of or direct the disposition of the Securities and any Common Stock resulting from the exercise or conversion thereof.</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7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last 60 days, the Reporting Person effected the following purchases and sales of the Company’s securities, each through open market transactions, on the dates, in the amounts, and at the prices per share shown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by Reporting Person’s individual retirement accounts:</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w w:val="94"/>
              </w:rPr>
              <w:t>Transaction</w:t>
            </w:r>
          </w:p>
        </w:tc>
        <w:tc>
          <w:tcPr>
            <w:tcW w:w="212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40" w:type="dxa"/>
            <w:vAlign w:val="bottom"/>
          </w:tcPr>
          <w:p>
            <w:pPr>
              <w:spacing w:after="0"/>
              <w:rPr>
                <w:sz w:val="17"/>
                <w:szCs w:val="17"/>
                <w:color w:val="auto"/>
              </w:rPr>
            </w:pPr>
          </w:p>
        </w:tc>
        <w:tc>
          <w:tcPr>
            <w:tcW w:w="18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Unit Cost</w:t>
            </w:r>
          </w:p>
        </w:tc>
      </w:tr>
      <w:tr>
        <w:trPr>
          <w:trHeight w:val="21"/>
        </w:trPr>
        <w:tc>
          <w:tcPr>
            <w:tcW w:w="360" w:type="dxa"/>
            <w:vAlign w:val="bottom"/>
            <w:tcBorders>
              <w:top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12/31/2020</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Purchase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3,500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31.18368</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1/7/2021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Purchase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36.9189</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Purchase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3,000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37.0000</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1/13/2021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Purchase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2,000</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38.2533</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1/26/2021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40.0000</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1/29/2021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44.7872</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1,595</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48.0364</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w w:val="96"/>
              </w:rPr>
              <w:t>12,183</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48.7777</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2/4/2021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w w:val="96"/>
              </w:rPr>
              <w:t>25,000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50.8939</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2/5/2021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w w:val="96"/>
              </w:rPr>
              <w:t>10,000</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51.9997</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2/8/2021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w w:val="96"/>
              </w:rPr>
              <w:t>22,000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52.5098</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2/9/2021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6,228</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53.3169</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2/9/2021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w w:val="96"/>
              </w:rPr>
              <w:t>11,000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55.0621</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2/10/2021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1,475</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55.5268</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2/12/2021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500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56.614</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2/16/2021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w w:val="96"/>
              </w:rPr>
              <w:t>40,000</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62.3352</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2/16/2021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w w:val="96"/>
              </w:rPr>
              <w:t>20,000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62.3352</w:t>
            </w:r>
          </w:p>
        </w:tc>
        <w:tc>
          <w:tcPr>
            <w:tcW w:w="980" w:type="dxa"/>
            <w:vAlign w:val="bottom"/>
            <w:shd w:val="clear" w:color="auto" w:fill="CCEEFF"/>
          </w:tcPr>
          <w:p>
            <w:pPr>
              <w:spacing w:after="0"/>
              <w:rPr>
                <w:sz w:val="18"/>
                <w:szCs w:val="18"/>
                <w:color w:val="auto"/>
              </w:rPr>
            </w:pPr>
          </w:p>
        </w:tc>
      </w:tr>
      <w:tr>
        <w:trPr>
          <w:trHeight w:val="216"/>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2/17/2021</w:t>
            </w:r>
          </w:p>
        </w:tc>
        <w:tc>
          <w:tcPr>
            <w:tcW w:w="20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w w:val="96"/>
              </w:rPr>
              <w:t>25,000</w:t>
            </w:r>
          </w:p>
        </w:tc>
        <w:tc>
          <w:tcPr>
            <w:tcW w:w="7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59.026</w:t>
            </w:r>
          </w:p>
        </w:tc>
        <w:tc>
          <w:tcPr>
            <w:tcW w:w="980" w:type="dxa"/>
            <w:vAlign w:val="bottom"/>
          </w:tcPr>
          <w:p>
            <w:pPr>
              <w:spacing w:after="0"/>
              <w:rPr>
                <w:sz w:val="18"/>
                <w:szCs w:val="18"/>
                <w:color w:val="auto"/>
              </w:rPr>
            </w:pPr>
          </w:p>
        </w:tc>
      </w:tr>
      <w:tr>
        <w:trPr>
          <w:trHeight w:val="216"/>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2/17/2021</w:t>
            </w:r>
          </w:p>
        </w:tc>
        <w:tc>
          <w:tcPr>
            <w:tcW w:w="20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Sale</w:t>
            </w:r>
          </w:p>
        </w:tc>
        <w:tc>
          <w:tcPr>
            <w:tcW w:w="2640" w:type="dxa"/>
            <w:vAlign w:val="bottom"/>
            <w:gridSpan w:val="2"/>
            <w:shd w:val="clear" w:color="auto" w:fill="CCEEFF"/>
          </w:tcPr>
          <w:p>
            <w:pPr>
              <w:ind w:left="2140"/>
              <w:spacing w:after="0"/>
              <w:rPr>
                <w:sz w:val="20"/>
                <w:szCs w:val="20"/>
                <w:color w:val="auto"/>
              </w:rPr>
            </w:pPr>
            <w:r>
              <w:rPr>
                <w:rFonts w:ascii="Times New Roman" w:cs="Times New Roman" w:eastAsia="Times New Roman" w:hAnsi="Times New Roman"/>
                <w:sz w:val="18"/>
                <w:szCs w:val="18"/>
                <w:color w:val="auto"/>
              </w:rPr>
              <w:t>5,000</w:t>
            </w:r>
          </w:p>
        </w:tc>
        <w:tc>
          <w:tcPr>
            <w:tcW w:w="7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60.756</w:t>
            </w:r>
          </w:p>
        </w:tc>
        <w:tc>
          <w:tcPr>
            <w:tcW w:w="9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18, 2021</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Ronald L. 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1342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423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Ronald L. Chez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1129030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6"/>
      <w:numFmt w:val="bullet"/>
      <w:start w:val="1"/>
    </w:lvl>
  </w:abstractNum>
  <w:abstractNum w:abstractNumId="6">
    <w:nsid w:val="7545E146"/>
    <w:multiLevelType w:val="hybridMultilevel"/>
    <w:lvl w:ilvl="0">
      <w:lvlJc w:val="left"/>
      <w:lvlText w:val="%1"/>
      <w:numFmt w:val="decimal"/>
      <w:start w:val="1"/>
    </w:lvl>
    <w:lvl w:ilvl="1">
      <w:lvlJc w:val="left"/>
      <w:lvlText w:val="%2"/>
      <w:numFmt w:val="decimal"/>
      <w:start w:val="13"/>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2021-02-18T12:07:08Z</dcterms:created>
  <dcterms:modified xsi:type="dcterms:W3CDTF">2021-02-18T12:07:08Z</dcterms:modified>
</cp:coreProperties>
</file>