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0"/>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00" w:type="dxa"/>
            <w:vAlign w:val="bottom"/>
          </w:tcPr>
          <w:p>
            <w:pPr>
              <w:spacing w:after="0"/>
              <w:rPr>
                <w:sz w:val="20"/>
                <w:szCs w:val="20"/>
                <w:color w:val="auto"/>
              </w:rPr>
            </w:pPr>
          </w:p>
        </w:tc>
      </w:tr>
      <w:tr>
        <w:trPr>
          <w:trHeight w:val="369"/>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0"/>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280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800" w:type="dxa"/>
            <w:vAlign w:val="bottom"/>
          </w:tcPr>
          <w:p>
            <w:pPr>
              <w:spacing w:after="0"/>
              <w:rPr>
                <w:sz w:val="20"/>
                <w:szCs w:val="20"/>
                <w:color w:val="auto"/>
              </w:rPr>
            </w:pPr>
          </w:p>
        </w:tc>
      </w:tr>
      <w:tr>
        <w:trPr>
          <w:trHeight w:val="391"/>
        </w:trPr>
        <w:tc>
          <w:tcPr>
            <w:tcW w:w="2960" w:type="dxa"/>
            <w:vAlign w:val="bottom"/>
          </w:tcPr>
          <w:p>
            <w:pPr>
              <w:spacing w:after="0"/>
              <w:rPr>
                <w:sz w:val="24"/>
                <w:szCs w:val="24"/>
                <w:color w:val="auto"/>
              </w:rPr>
            </w:pPr>
          </w:p>
        </w:tc>
        <w:tc>
          <w:tcPr>
            <w:tcW w:w="546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March 24, 2026</w:t>
            </w:r>
          </w:p>
        </w:tc>
        <w:tc>
          <w:tcPr>
            <w:tcW w:w="2800" w:type="dxa"/>
            <w:vAlign w:val="bottom"/>
          </w:tcPr>
          <w:p>
            <w:pPr>
              <w:spacing w:after="0"/>
              <w:rPr>
                <w:sz w:val="24"/>
                <w:szCs w:val="24"/>
                <w:color w:val="auto"/>
              </w:rPr>
            </w:pPr>
          </w:p>
        </w:tc>
      </w:tr>
      <w:tr>
        <w:trPr>
          <w:trHeight w:val="387"/>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280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00" w:type="dxa"/>
            <w:vAlign w:val="bottom"/>
          </w:tcPr>
          <w:p>
            <w:pPr>
              <w:spacing w:after="0"/>
              <w:rPr>
                <w:sz w:val="20"/>
                <w:szCs w:val="20"/>
                <w:color w:val="auto"/>
              </w:rPr>
            </w:pPr>
          </w:p>
        </w:tc>
      </w:tr>
      <w:tr>
        <w:trPr>
          <w:trHeight w:val="446"/>
        </w:trPr>
        <w:tc>
          <w:tcPr>
            <w:tcW w:w="29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6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27"/>
        </w:trPr>
        <w:tc>
          <w:tcPr>
            <w:tcW w:w="2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0"/>
          </w:tcPr>
          <w:p>
            <w:pPr>
              <w:jc w:val="center"/>
              <w:ind w:right="980"/>
              <w:spacing w:after="0"/>
              <w:rPr>
                <w:sz w:val="20"/>
                <w:szCs w:val="20"/>
                <w:color w:val="auto"/>
              </w:rPr>
            </w:pPr>
            <w:r>
              <w:rPr>
                <w:rFonts w:ascii="Times New Roman" w:cs="Times New Roman" w:eastAsia="Times New Roman" w:hAnsi="Times New Roman"/>
                <w:sz w:val="18"/>
                <w:szCs w:val="18"/>
                <w:color w:val="auto"/>
              </w:rPr>
              <w:t>(Commission File Number)</w:t>
            </w:r>
          </w:p>
        </w:tc>
        <w:tc>
          <w:tcPr>
            <w:tcW w:w="280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91"/>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0"/>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260 Charles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302</w:t>
            </w:r>
          </w:p>
        </w:tc>
        <w:tc>
          <w:tcPr>
            <w:tcW w:w="2800" w:type="dxa"/>
            <w:vAlign w:val="bottom"/>
          </w:tcPr>
          <w:p>
            <w:pPr>
              <w:spacing w:after="0"/>
              <w:rPr>
                <w:sz w:val="24"/>
                <w:szCs w:val="24"/>
                <w:color w:val="auto"/>
              </w:rPr>
            </w:pPr>
          </w:p>
        </w:tc>
      </w:tr>
      <w:tr>
        <w:trPr>
          <w:trHeight w:val="198"/>
        </w:trPr>
        <w:tc>
          <w:tcPr>
            <w:tcW w:w="2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0" w:type="dxa"/>
            <w:vAlign w:val="bottom"/>
            <w:gridSpan w:val="9"/>
          </w:tcPr>
          <w:p>
            <w:pPr>
              <w:jc w:val="center"/>
              <w:ind w:right="20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280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546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248.651.6568</w:t>
            </w:r>
          </w:p>
        </w:tc>
        <w:tc>
          <w:tcPr>
            <w:tcW w:w="2800" w:type="dxa"/>
            <w:vAlign w:val="bottom"/>
          </w:tcPr>
          <w:p>
            <w:pPr>
              <w:spacing w:after="0"/>
              <w:rPr>
                <w:sz w:val="24"/>
                <w:szCs w:val="24"/>
                <w:color w:val="auto"/>
              </w:rPr>
            </w:pPr>
          </w:p>
        </w:tc>
      </w:tr>
      <w:tr>
        <w:trPr>
          <w:trHeight w:val="372"/>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80" w:type="dxa"/>
            <w:vAlign w:val="bottom"/>
            <w:tcBorders>
              <w:top w:val="single" w:sz="8" w:color="auto"/>
              <w:bottom w:val="single" w:sz="8" w:color="auto"/>
            </w:tcBorders>
            <w:gridSpan w:val="2"/>
          </w:tcPr>
          <w:p>
            <w:pPr>
              <w:spacing w:after="0"/>
              <w:rPr>
                <w:sz w:val="24"/>
                <w:szCs w:val="24"/>
                <w:color w:val="auto"/>
              </w:rPr>
            </w:pPr>
          </w:p>
        </w:tc>
        <w:tc>
          <w:tcPr>
            <w:tcW w:w="520" w:type="dxa"/>
            <w:vAlign w:val="bottom"/>
            <w:tcBorders>
              <w:top w:val="single" w:sz="8" w:color="auto"/>
            </w:tcBorders>
            <w:gridSpan w:val="2"/>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546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00" w:type="dxa"/>
            <w:vAlign w:val="bottom"/>
          </w:tcPr>
          <w:p>
            <w:pPr>
              <w:spacing w:after="0"/>
              <w:rPr>
                <w:sz w:val="20"/>
                <w:szCs w:val="20"/>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2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80" w:type="dxa"/>
            <w:vAlign w:val="bottom"/>
          </w:tcPr>
          <w:p>
            <w:pPr>
              <w:spacing w:after="0"/>
              <w:rPr>
                <w:sz w:val="24"/>
                <w:szCs w:val="24"/>
                <w:color w:val="auto"/>
              </w:rPr>
            </w:pPr>
          </w:p>
        </w:tc>
      </w:tr>
      <w:tr>
        <w:trPr>
          <w:trHeight w:val="238"/>
        </w:trPr>
        <w:tc>
          <w:tcPr>
            <w:tcW w:w="470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860" w:type="dxa"/>
            <w:vAlign w:val="bottom"/>
            <w:gridSpan w:val="2"/>
            <w:shd w:val="clear" w:color="auto" w:fill="CFF0FC"/>
          </w:tcPr>
          <w:p>
            <w:pPr>
              <w:jc w:val="center"/>
              <w:ind w:right="1020"/>
              <w:spacing w:after="0"/>
              <w:rPr>
                <w:sz w:val="20"/>
                <w:szCs w:val="20"/>
                <w:color w:val="auto"/>
              </w:rPr>
            </w:pPr>
            <w:r>
              <w:rPr>
                <w:rFonts w:ascii="Times New Roman" w:cs="Times New Roman" w:eastAsia="Times New Roman" w:hAnsi="Times New Roman"/>
                <w:sz w:val="18"/>
                <w:szCs w:val="18"/>
                <w:color w:val="auto"/>
                <w:w w:val="99"/>
              </w:rPr>
              <w:t>OPRX</w:t>
            </w: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7"/>
        </w:trPr>
        <w:tc>
          <w:tcPr>
            <w:tcW w:w="36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80" w:type="dxa"/>
            <w:vAlign w:val="bottom"/>
            <w:shd w:val="clear" w:color="auto" w:fill="CFF0FC"/>
          </w:tcPr>
          <w:p>
            <w:pPr>
              <w:spacing w:after="0"/>
              <w:rPr>
                <w:sz w:val="2"/>
                <w:szCs w:val="2"/>
                <w:color w:val="auto"/>
              </w:rPr>
            </w:pPr>
          </w:p>
        </w:tc>
      </w:tr>
    </w:tbl>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Independent Registered Public Accounting Firm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2026, the Audit Committee (the “Audit Committee”) of the Board of Directors of OptimizeRx Corporation (the “Company”) approved the dismissal of, and on March 25, 2026 subsequently dismissed, UHY LLP (“UHY”) as the Company’s independent registered public accounting firm, effective immediately.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reports of UHY on the Company’s consolidated financial statements for the fiscal years ended December 31, 2025 and 2024 did not contain an adverse opinion or disclaimer of opinion and were not qualified or modified as to uncertainty, audit scope, or accounting principles.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March 25, 2026, there were (1) no “disagreements”, as such term is described in Item 304(a)(1)(iv) of Regulation S-K promulgated under the Exchange Act, with UHY on any matter of accounting principles or practices, financial statement disclosure or auditing scope or procedures that, if not resolved to UHY’s satisfaction, would have caused UHY to make reference to the subject matter of the disagreement in connection with its reports, and (2) no “reportable events”, as such term is defined in Item 304(a)(1)</w:t>
      </w:r>
    </w:p>
    <w:p>
      <w:pPr>
        <w:spacing w:after="0" w:line="3" w:lineRule="exact"/>
        <w:rPr>
          <w:sz w:val="20"/>
          <w:szCs w:val="20"/>
          <w:color w:val="auto"/>
        </w:rPr>
      </w:pPr>
    </w:p>
    <w:p>
      <w:pPr>
        <w:jc w:val="both"/>
        <w:ind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except as previously disclosed in the Company’s Annual Report on Form 10-K for the years ended December 31, 2025 and 2024, where the Company identified a material weakness in internal control over financial reporting related to controls ensuring data received from third-party service organizations were complete and accurate. The Company and the Audit Committee have discussed the material weakness with UHY and have authorized UHY to respond fully to inquiries of the successor independent registered public accounting firm concerning such material weakness. Such material weakness did not result in any restatement of the Company’s financial statements and did not give rise to any disagreement between the Company and UHY.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Item 304(a)(3) of Regulation S-K, the Company provided UHY with a copy of this Current Report on Form 8-K prior to its filing with the Securities and Exchange Commission (the “SEC”) and requested that UHY furnish it with a letter addressed to the SEC stating whether it agrees with the above statements in this Item 4.01(a). A copy of UHY’s letter, dated March 30, 2026, is attached as Exhibit 16.1 to this Current Report on Form 8-K.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Appointment of New Independent Registered Public Accounting Firm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2026, the Company and the Audit Committee engaged Grant Thornton LLP (“Grant Thornton”) to serve as the Company’s independent registered public accounting firm for the fiscal year ending December 31, 2026, effective immediately.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March 26, 2026, the date of the appointment of Grant Thornton, neither the Company nor any person on its behalf has consulted with Grant Thornton with respect to either (i) the application of accounting principles to any specified transaction, either completed or proposed, or the type of audit opinion that might be rendered on the Company’s consolidated financial statements, and neither a written report nor oral advice was provided to the Company that Grant Thornton concluded was an important factor considered by the Company in reaching a decision as to any accounting, auditing, or financial reporting issue, or (ii) any matter that was either the subject of a “disagreement”, as described in Item 304(a)(1)(iv) of Regulation S-K, or a “reportable event” as defined in Items 304(a)(1)(iv) of Regulation S-K.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1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4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551A8B"/>
              </w:rPr>
              <w:t>Letter from UHY LLP addressed to the Securities and Exchange Commissions, dated March 30, 2026</w:t>
            </w:r>
          </w:p>
        </w:tc>
      </w:tr>
      <w:tr>
        <w:trPr>
          <w:trHeight w:val="243"/>
        </w:trPr>
        <w:tc>
          <w:tcPr>
            <w:tcW w:w="1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7340" w:type="dxa"/>
            <w:vAlign w:val="bottom"/>
            <w:tcBorders>
              <w:top w:val="single" w:sz="8" w:color="551A8B"/>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00" w:type="dxa"/>
            <w:vAlign w:val="bottom"/>
            <w:tcBorders>
              <w:top w:val="single" w:sz="8" w:color="CFF0FC"/>
            </w:tcBorders>
          </w:tcPr>
          <w:p>
            <w:pPr>
              <w:spacing w:after="0"/>
              <w:rPr>
                <w:sz w:val="21"/>
                <w:szCs w:val="21"/>
                <w:color w:val="auto"/>
              </w:rPr>
            </w:pPr>
          </w:p>
        </w:tc>
      </w:tr>
      <w:tr>
        <w:trPr>
          <w:trHeight w:val="918"/>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1</w:t>
            </w:r>
          </w:p>
        </w:tc>
        <w:tc>
          <w:tcPr>
            <w:tcW w:w="21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8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Edward Stelmakh</w:t>
            </w:r>
          </w:p>
        </w:tc>
      </w:tr>
      <w:tr>
        <w:trPr>
          <w:trHeight w:val="218"/>
        </w:trPr>
        <w:tc>
          <w:tcPr>
            <w:tcW w:w="3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&amp; Strategy Officer</w:t>
            </w:r>
          </w:p>
        </w:tc>
      </w:tr>
      <w:tr>
        <w:trPr>
          <w:trHeight w:val="904"/>
        </w:trPr>
        <w:tc>
          <w:tcPr>
            <w:tcW w:w="3280" w:type="dxa"/>
            <w:vAlign w:val="bottom"/>
          </w:tcPr>
          <w:p>
            <w:pPr>
              <w:spacing w:after="0"/>
              <w:rPr>
                <w:sz w:val="24"/>
                <w:szCs w:val="24"/>
                <w:color w:val="auto"/>
              </w:rPr>
            </w:pPr>
          </w:p>
        </w:tc>
        <w:tc>
          <w:tcPr>
            <w:tcW w:w="2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ind w:left="4040"/>
        <w:spacing w:after="0"/>
        <w:rPr>
          <w:sz w:val="20"/>
          <w:szCs w:val="20"/>
          <w:color w:val="auto"/>
        </w:rPr>
      </w:pPr>
      <w:r>
        <w:rPr>
          <w:rFonts w:ascii="Arial" w:cs="Arial" w:eastAsia="Arial" w:hAnsi="Arial"/>
          <w:sz w:val="22"/>
          <w:szCs w:val="22"/>
          <w:b w:val="1"/>
          <w:bCs w:val="1"/>
          <w:color w:val="005844"/>
        </w:rPr>
        <w:drawing>
          <wp:anchor simplePos="0" relativeHeight="251657728" behindDoc="1" locked="0" layoutInCell="0" allowOverlap="1">
            <wp:simplePos x="0" y="0"/>
            <wp:positionH relativeFrom="page">
              <wp:posOffset>208280</wp:posOffset>
            </wp:positionH>
            <wp:positionV relativeFrom="page">
              <wp:posOffset>397510</wp:posOffset>
            </wp:positionV>
            <wp:extent cx="1645920" cy="385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85445"/>
                    </a:xfrm>
                    <a:prstGeom prst="rect">
                      <a:avLst/>
                    </a:prstGeom>
                    <a:noFill/>
                  </pic:spPr>
                </pic:pic>
              </a:graphicData>
            </a:graphic>
          </wp:anchor>
        </w:drawing>
        <w:t>UHY LLP</w:t>
      </w:r>
    </w:p>
    <w:p>
      <w:pPr>
        <w:spacing w:after="0" w:line="12" w:lineRule="exact"/>
        <w:rPr>
          <w:sz w:val="20"/>
          <w:szCs w:val="20"/>
          <w:color w:val="auto"/>
        </w:rPr>
      </w:pPr>
    </w:p>
    <w:p>
      <w:pPr>
        <w:ind w:left="6480"/>
        <w:spacing w:after="0"/>
        <w:rPr>
          <w:sz w:val="20"/>
          <w:szCs w:val="20"/>
          <w:color w:val="auto"/>
        </w:rPr>
      </w:pPr>
      <w:r>
        <w:rPr>
          <w:rFonts w:ascii="Arial" w:cs="Arial" w:eastAsia="Arial" w:hAnsi="Arial"/>
          <w:sz w:val="22"/>
          <w:szCs w:val="22"/>
          <w:b w:val="1"/>
          <w:bCs w:val="1"/>
          <w:color w:val="43B02A"/>
        </w:rPr>
        <w:t>uhy-us.com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Item 4.01 of Form 8-K filed with the U.S. Securities and Exchange Commission on March 30, 2026 of OptimizeRx Corporation (the “Company”) and are in agreement with the statements contained in (a) (Dismissal of Independent Registered Public Accounting Firm). We have no basis to agree or disagree with other statements of the Company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sectPr>
      <w:pgSz w:w="11900" w:h="16838" w:orient="portrait"/>
      <w:cols w:equalWidth="0" w:num="1">
        <w:col w:w="11240"/>
      </w:cols>
      <w:pgMar w:left="320" w:top="10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2026-03-30T16:39:59Z</dcterms:created>
  <dcterms:modified xsi:type="dcterms:W3CDTF">2026-03-30T16:39:59Z</dcterms:modified>
</cp:coreProperties>
</file>