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____________________</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3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p>
        </w:tc>
        <w:tc>
          <w:tcPr>
            <w:tcW w:w="4620" w:type="dxa"/>
            <w:vAlign w:val="bottom"/>
            <w:gridSpan w:val="7"/>
          </w:tcPr>
          <w:p>
            <w:pPr>
              <w:jc w:val="center"/>
              <w:ind w:right="140"/>
              <w:spacing w:after="0"/>
              <w:rPr>
                <w:sz w:val="20"/>
                <w:szCs w:val="20"/>
                <w:color w:val="auto"/>
              </w:rPr>
            </w:pPr>
            <w:r>
              <w:rPr>
                <w:rFonts w:ascii="Arial" w:cs="Arial" w:eastAsia="Arial" w:hAnsi="Arial"/>
                <w:sz w:val="18"/>
                <w:szCs w:val="18"/>
                <w:color w:val="auto"/>
                <w:w w:val="90"/>
              </w:rPr>
              <w:t>Date of Report (Date of earliest event reported): July 25, 2016</w:t>
            </w:r>
          </w:p>
        </w:tc>
        <w:tc>
          <w:tcPr>
            <w:tcW w:w="3320" w:type="dxa"/>
            <w:vAlign w:val="bottom"/>
          </w:tcPr>
          <w:p>
            <w:pPr>
              <w:spacing w:after="0"/>
              <w:rPr>
                <w:sz w:val="20"/>
                <w:szCs w:val="20"/>
                <w:color w:val="auto"/>
              </w:rPr>
            </w:pPr>
          </w:p>
        </w:tc>
      </w:tr>
      <w:tr>
        <w:trPr>
          <w:trHeight w:val="392"/>
        </w:trPr>
        <w:tc>
          <w:tcPr>
            <w:tcW w:w="3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OptimizeRx Corporation</w:t>
            </w:r>
          </w:p>
        </w:tc>
        <w:tc>
          <w:tcPr>
            <w:tcW w:w="1480" w:type="dxa"/>
            <w:vAlign w:val="bottom"/>
            <w:gridSpan w:val="3"/>
          </w:tcPr>
          <w:p>
            <w:pPr>
              <w:spacing w:after="0"/>
              <w:rPr>
                <w:sz w:val="24"/>
                <w:szCs w:val="24"/>
                <w:color w:val="auto"/>
              </w:rPr>
            </w:pPr>
          </w:p>
        </w:tc>
        <w:tc>
          <w:tcPr>
            <w:tcW w:w="3320" w:type="dxa"/>
            <w:vAlign w:val="bottom"/>
          </w:tcPr>
          <w:p>
            <w:pPr>
              <w:spacing w:after="0"/>
              <w:rPr>
                <w:sz w:val="24"/>
                <w:szCs w:val="24"/>
                <w:color w:val="auto"/>
              </w:rPr>
            </w:pPr>
          </w:p>
        </w:tc>
      </w:tr>
      <w:tr>
        <w:trPr>
          <w:trHeight w:val="237"/>
        </w:trPr>
        <w:tc>
          <w:tcPr>
            <w:tcW w:w="3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320" w:type="dxa"/>
            <w:vAlign w:val="bottom"/>
            <w:gridSpan w:val="6"/>
          </w:tcPr>
          <w:p>
            <w:pPr>
              <w:jc w:val="center"/>
              <w:ind w:right="440"/>
              <w:spacing w:after="0"/>
              <w:rPr>
                <w:sz w:val="20"/>
                <w:szCs w:val="20"/>
                <w:color w:val="auto"/>
              </w:rPr>
            </w:pPr>
            <w:r>
              <w:rPr>
                <w:rFonts w:ascii="Arial" w:cs="Arial" w:eastAsia="Arial" w:hAnsi="Arial"/>
                <w:sz w:val="18"/>
                <w:szCs w:val="18"/>
                <w:color w:val="auto"/>
                <w:w w:val="90"/>
              </w:rPr>
              <w:t>(Exact name of registrant as specified in its charter)</w:t>
            </w:r>
          </w:p>
        </w:tc>
        <w:tc>
          <w:tcPr>
            <w:tcW w:w="3320" w:type="dxa"/>
            <w:vAlign w:val="bottom"/>
          </w:tcPr>
          <w:p>
            <w:pPr>
              <w:spacing w:after="0"/>
              <w:rPr>
                <w:sz w:val="20"/>
                <w:szCs w:val="20"/>
                <w:color w:val="auto"/>
              </w:rPr>
            </w:pPr>
          </w:p>
        </w:tc>
      </w:tr>
      <w:tr>
        <w:trPr>
          <w:trHeight w:val="439"/>
        </w:trPr>
        <w:tc>
          <w:tcPr>
            <w:tcW w:w="3480" w:type="dxa"/>
            <w:vAlign w:val="bottom"/>
          </w:tcPr>
          <w:p>
            <w:pPr>
              <w:jc w:val="center"/>
              <w:ind w:left="210"/>
              <w:spacing w:after="0"/>
              <w:rPr>
                <w:sz w:val="20"/>
                <w:szCs w:val="20"/>
                <w:color w:val="auto"/>
              </w:rPr>
            </w:pPr>
            <w:r>
              <w:rPr>
                <w:rFonts w:ascii="Arial" w:cs="Arial" w:eastAsia="Arial" w:hAnsi="Arial"/>
                <w:sz w:val="18"/>
                <w:szCs w:val="18"/>
                <w:color w:val="auto"/>
                <w:w w:val="86"/>
              </w:rPr>
              <w:t>Nevada</w:t>
            </w:r>
          </w:p>
        </w:tc>
        <w:tc>
          <w:tcPr>
            <w:tcW w:w="3140" w:type="dxa"/>
            <w:vAlign w:val="bottom"/>
            <w:gridSpan w:val="4"/>
          </w:tcPr>
          <w:p>
            <w:pPr>
              <w:jc w:val="center"/>
              <w:ind w:left="1270"/>
              <w:spacing w:after="0"/>
              <w:rPr>
                <w:sz w:val="20"/>
                <w:szCs w:val="20"/>
                <w:color w:val="auto"/>
              </w:rPr>
            </w:pPr>
            <w:r>
              <w:rPr>
                <w:rFonts w:ascii="Arial" w:cs="Arial" w:eastAsia="Arial" w:hAnsi="Arial"/>
                <w:sz w:val="18"/>
                <w:szCs w:val="18"/>
                <w:color w:val="auto"/>
                <w:w w:val="90"/>
              </w:rPr>
              <w:t>000-53605</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320" w:type="dxa"/>
            <w:vAlign w:val="bottom"/>
          </w:tcPr>
          <w:p>
            <w:pPr>
              <w:jc w:val="right"/>
              <w:ind w:right="1350"/>
              <w:spacing w:after="0"/>
              <w:rPr>
                <w:sz w:val="20"/>
                <w:szCs w:val="20"/>
                <w:color w:val="auto"/>
              </w:rPr>
            </w:pPr>
            <w:r>
              <w:rPr>
                <w:rFonts w:ascii="Arial" w:cs="Arial" w:eastAsia="Arial" w:hAnsi="Arial"/>
                <w:sz w:val="18"/>
                <w:szCs w:val="18"/>
                <w:color w:val="auto"/>
              </w:rPr>
              <w:t>26-1265381</w:t>
            </w:r>
          </w:p>
        </w:tc>
      </w:tr>
      <w:tr>
        <w:trPr>
          <w:trHeight w:val="230"/>
        </w:trPr>
        <w:tc>
          <w:tcPr>
            <w:tcW w:w="3480" w:type="dxa"/>
            <w:vAlign w:val="bottom"/>
            <w:tcBorders>
              <w:top w:val="single" w:sz="8" w:color="auto"/>
            </w:tcBorders>
          </w:tcPr>
          <w:p>
            <w:pPr>
              <w:jc w:val="center"/>
              <w:ind w:left="230"/>
              <w:spacing w:after="0"/>
              <w:rPr>
                <w:sz w:val="20"/>
                <w:szCs w:val="20"/>
                <w:color w:val="auto"/>
              </w:rPr>
            </w:pPr>
            <w:r>
              <w:rPr>
                <w:rFonts w:ascii="Arial" w:cs="Arial" w:eastAsia="Arial" w:hAnsi="Arial"/>
                <w:sz w:val="18"/>
                <w:szCs w:val="18"/>
                <w:color w:val="auto"/>
                <w:w w:val="92"/>
              </w:rPr>
              <w:t>(State or other jurisdiction of incorporation)</w:t>
            </w:r>
          </w:p>
        </w:tc>
        <w:tc>
          <w:tcPr>
            <w:tcW w:w="3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6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2"/>
              </w:rPr>
              <w:t>(Commission File Number)</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3320" w:type="dxa"/>
            <w:vAlign w:val="bottom"/>
            <w:tcBorders>
              <w:top w:val="single" w:sz="8" w:color="auto"/>
            </w:tcBorders>
          </w:tcPr>
          <w:p>
            <w:pPr>
              <w:jc w:val="center"/>
              <w:ind w:right="350"/>
              <w:spacing w:after="0"/>
              <w:rPr>
                <w:sz w:val="20"/>
                <w:szCs w:val="20"/>
                <w:color w:val="auto"/>
              </w:rPr>
            </w:pPr>
            <w:r>
              <w:rPr>
                <w:rFonts w:ascii="Arial" w:cs="Arial" w:eastAsia="Arial" w:hAnsi="Arial"/>
                <w:sz w:val="18"/>
                <w:szCs w:val="18"/>
                <w:color w:val="auto"/>
                <w:w w:val="93"/>
              </w:rPr>
              <w:t>(I.R.S. Employer Identification No.)</w:t>
            </w:r>
          </w:p>
        </w:tc>
      </w:tr>
      <w:tr>
        <w:trPr>
          <w:trHeight w:val="634"/>
        </w:trPr>
        <w:tc>
          <w:tcPr>
            <w:tcW w:w="8100" w:type="dxa"/>
            <w:vAlign w:val="bottom"/>
            <w:tcBorders>
              <w:bottom w:val="single" w:sz="8" w:color="auto"/>
            </w:tcBorders>
            <w:gridSpan w:val="8"/>
          </w:tcPr>
          <w:p>
            <w:pPr>
              <w:jc w:val="center"/>
              <w:ind w:right="80"/>
              <w:spacing w:after="0"/>
              <w:rPr>
                <w:sz w:val="20"/>
                <w:szCs w:val="20"/>
                <w:color w:val="auto"/>
              </w:rPr>
            </w:pPr>
            <w:r>
              <w:rPr>
                <w:rFonts w:ascii="Arial" w:cs="Arial" w:eastAsia="Arial" w:hAnsi="Arial"/>
                <w:sz w:val="18"/>
                <w:szCs w:val="18"/>
                <w:color w:val="auto"/>
                <w:w w:val="90"/>
              </w:rPr>
              <w:t>400 Water Street, Suite 200, Rochester, MI</w:t>
            </w:r>
          </w:p>
        </w:tc>
        <w:tc>
          <w:tcPr>
            <w:tcW w:w="3320" w:type="dxa"/>
            <w:vAlign w:val="bottom"/>
            <w:tcBorders>
              <w:bottom w:val="single" w:sz="8" w:color="auto"/>
            </w:tcBorders>
          </w:tcPr>
          <w:p>
            <w:pPr>
              <w:jc w:val="right"/>
              <w:ind w:right="1390"/>
              <w:spacing w:after="0"/>
              <w:rPr>
                <w:sz w:val="20"/>
                <w:szCs w:val="20"/>
                <w:color w:val="auto"/>
              </w:rPr>
            </w:pPr>
            <w:r>
              <w:rPr>
                <w:rFonts w:ascii="Arial" w:cs="Arial" w:eastAsia="Arial" w:hAnsi="Arial"/>
                <w:sz w:val="18"/>
                <w:szCs w:val="18"/>
                <w:color w:val="auto"/>
              </w:rPr>
              <w:t>48307</w:t>
            </w:r>
          </w:p>
        </w:tc>
      </w:tr>
      <w:tr>
        <w:trPr>
          <w:trHeight w:val="224"/>
        </w:trPr>
        <w:tc>
          <w:tcPr>
            <w:tcW w:w="8100" w:type="dxa"/>
            <w:vAlign w:val="bottom"/>
            <w:gridSpan w:val="8"/>
          </w:tcPr>
          <w:p>
            <w:pPr>
              <w:jc w:val="center"/>
              <w:ind w:right="80"/>
              <w:spacing w:after="0"/>
              <w:rPr>
                <w:sz w:val="20"/>
                <w:szCs w:val="20"/>
                <w:color w:val="auto"/>
              </w:rPr>
            </w:pPr>
            <w:r>
              <w:rPr>
                <w:rFonts w:ascii="Arial" w:cs="Arial" w:eastAsia="Arial" w:hAnsi="Arial"/>
                <w:sz w:val="18"/>
                <w:szCs w:val="18"/>
                <w:color w:val="auto"/>
                <w:w w:val="92"/>
              </w:rPr>
              <w:t>(Address of principal executive offices)</w:t>
            </w:r>
          </w:p>
        </w:tc>
        <w:tc>
          <w:tcPr>
            <w:tcW w:w="3320" w:type="dxa"/>
            <w:vAlign w:val="bottom"/>
          </w:tcPr>
          <w:p>
            <w:pPr>
              <w:jc w:val="center"/>
              <w:ind w:right="10"/>
              <w:spacing w:after="0"/>
              <w:rPr>
                <w:sz w:val="20"/>
                <w:szCs w:val="20"/>
                <w:color w:val="auto"/>
              </w:rPr>
            </w:pPr>
            <w:r>
              <w:rPr>
                <w:rFonts w:ascii="Arial" w:cs="Arial" w:eastAsia="Arial" w:hAnsi="Arial"/>
                <w:sz w:val="18"/>
                <w:szCs w:val="18"/>
                <w:color w:val="auto"/>
                <w:w w:val="91"/>
              </w:rPr>
              <w:t>(Zip Code)</w:t>
            </w:r>
          </w:p>
        </w:tc>
      </w:tr>
    </w:tbl>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0" w:lineRule="exact"/>
        <w:rPr>
          <w:sz w:val="24"/>
          <w:szCs w:val="24"/>
          <w:color w:val="auto"/>
        </w:rPr>
      </w:pPr>
    </w:p>
    <w:p>
      <w:pPr>
        <w:spacing w:after="0" w:line="241"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___________________________________________________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675005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2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337" w:lineRule="exact"/>
        <w:rPr>
          <w:sz w:val="20"/>
          <w:szCs w:val="20"/>
          <w:color w:val="auto"/>
        </w:rPr>
      </w:pPr>
    </w:p>
    <w:p>
      <w:pPr>
        <w:spacing w:after="0"/>
        <w:rPr>
          <w:sz w:val="20"/>
          <w:szCs w:val="20"/>
          <w:color w:val="auto"/>
        </w:rPr>
      </w:pPr>
      <w:r>
        <w:rPr>
          <w:rFonts w:ascii="Arial" w:cs="Arial" w:eastAsia="Arial" w:hAnsi="Arial"/>
          <w:sz w:val="16"/>
          <w:szCs w:val="16"/>
          <w:color w:val="auto"/>
        </w:rPr>
        <w:t>On July 25, 2016, we issued a press release announcing the details of our earnings conference call, to be held on Monday, August 8, 2016 at 4:30 p.m. ET.</w:t>
      </w:r>
    </w:p>
    <w:p>
      <w:pPr>
        <w:spacing w:after="0" w:line="24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press release is furnished with this Current Report on Form 8-K as Exhibit 99.1. The information furnished under this Item 2.02 and Item 9.01 of this Current Report on Form 8-K, including Exhibit 99.1, shall not be deemed to be “filed” for the purposes of Section 18 of the Securities Exchange Act of 1934, as amended, or otherwise subject to the liabilities of that section, nor shall it be deemed incorporated by reference in any registration statement or other filing under the Securities Act of 1933, as amended, regardless of any general incorporation by reference language in such filing, except as shall be expressly set forth by specific reference in any such filing.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70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9720" w:type="dxa"/>
            <w:vAlign w:val="bottom"/>
          </w:tcPr>
          <w:p>
            <w:pPr>
              <w:ind w:left="100"/>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1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99.1</w:t>
            </w:r>
          </w:p>
        </w:tc>
        <w:tc>
          <w:tcPr>
            <w:tcW w:w="100" w:type="dxa"/>
            <w:vAlign w:val="bottom"/>
            <w:tcBorders>
              <w:top w:val="single" w:sz="8" w:color="CCEEFF"/>
            </w:tcBorders>
            <w:shd w:val="clear" w:color="auto" w:fill="CCEEFF"/>
          </w:tcPr>
          <w:p>
            <w:pPr>
              <w:spacing w:after="0"/>
              <w:rPr>
                <w:sz w:val="18"/>
                <w:szCs w:val="18"/>
                <w:color w:val="auto"/>
              </w:rPr>
            </w:pPr>
          </w:p>
        </w:tc>
        <w:tc>
          <w:tcPr>
            <w:tcW w:w="972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Press release, dated July 25, 2016</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Doug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3926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July 25, 2016</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165735</wp:posOffset>
            </wp:positionV>
            <wp:extent cx="2615565" cy="5575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1556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OptimizeRx Corporation Sets Second Quarter 2016 Conference</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Call for Monday, August 8, 2016 at 4:30 p.m. ET</w:t>
      </w:r>
    </w:p>
    <w:p>
      <w:pPr>
        <w:spacing w:after="0" w:line="369" w:lineRule="exact"/>
        <w:rPr>
          <w:sz w:val="20"/>
          <w:szCs w:val="20"/>
          <w:color w:val="auto"/>
        </w:rPr>
      </w:pPr>
    </w:p>
    <w:p>
      <w:pPr>
        <w:ind w:right="40"/>
        <w:spacing w:after="0" w:line="289" w:lineRule="auto"/>
        <w:rPr>
          <w:sz w:val="20"/>
          <w:szCs w:val="20"/>
          <w:color w:val="auto"/>
        </w:rPr>
      </w:pPr>
      <w:r>
        <w:rPr>
          <w:rFonts w:ascii="Arial" w:cs="Arial" w:eastAsia="Arial" w:hAnsi="Arial"/>
          <w:sz w:val="17"/>
          <w:szCs w:val="17"/>
          <w:b w:val="1"/>
          <w:bCs w:val="1"/>
          <w:color w:val="auto"/>
        </w:rPr>
        <w:t xml:space="preserve">ROCHESTER, MI – July 25, 2016 – </w:t>
      </w:r>
      <w:r>
        <w:rPr>
          <w:rFonts w:ascii="Arial" w:cs="Arial" w:eastAsia="Arial" w:hAnsi="Arial"/>
          <w:sz w:val="17"/>
          <w:szCs w:val="17"/>
          <w:color w:val="auto"/>
        </w:rPr>
        <w:t>OptimizeRx Corp. (OTCQB: OPRX), a health technology software company whose premier content-delivery platform</w:t>
      </w:r>
      <w:r>
        <w:rPr>
          <w:rFonts w:ascii="Arial" w:cs="Arial" w:eastAsia="Arial" w:hAnsi="Arial"/>
          <w:sz w:val="17"/>
          <w:szCs w:val="17"/>
          <w:b w:val="1"/>
          <w:bCs w:val="1"/>
          <w:color w:val="auto"/>
        </w:rPr>
        <w:t xml:space="preserve"> </w:t>
      </w:r>
      <w:r>
        <w:rPr>
          <w:rFonts w:ascii="Arial" w:cs="Arial" w:eastAsia="Arial" w:hAnsi="Arial"/>
          <w:sz w:val="17"/>
          <w:szCs w:val="17"/>
          <w:color w:val="auto"/>
        </w:rPr>
        <w:t>enables pharmaceutical companies to provide on-demand patient-care services, will hold a conference call on Monday, August 8, 2016 at 4:30 p.m. Eastern time to discuss results for the second quarter ended June 30, 2016. The financial results will be issued in a press release prior to the call.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OptimizeRx management will host the presentation, followed by a question and answer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Monday, August 8, 2016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 4:30 p.m. Eastern time (1:30 p.m. Pacific time)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Toll-free dial-in number: 1-800-210-9006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International dial-in number: 1-719-325-2364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2477271</w:t>
      </w:r>
    </w:p>
    <w:p>
      <w:pPr>
        <w:spacing w:after="0" w:line="21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Please call the conference telephone number five minutes prior to the start time. An operator will register your name and organization. If you have any difficulty connecting with the conference call, please contact Liolios Group at 1-949-574-3860.</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 replay of the call will be available after 7:30 p.m. Eastern time on the same day through August 29, 2016, as well as available for replay via the Investors section of the OptimizeRx website at www.optimizerxcorp.com.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Toll-free replay number: 1-877-870-5176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replay number: 1-858-384-5517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Replay ID: 2477271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 Corp</w:t>
      </w:r>
    </w:p>
    <w:p>
      <w:pPr>
        <w:spacing w:after="0" w:line="2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OptimizeRx Corporation (OTCQB: OPRX) provides unique consumer and physician platforms to help patients better afford and comply with their medicines and healthcare products, while offering pharmaceutical and healthcare companies effective ways to expand awareness, access and adherence to their medications.</w:t>
      </w:r>
    </w:p>
    <w:p>
      <w:pPr>
        <w:spacing w:after="0" w:line="19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core product, SampleMD, replaces drug samples with electronic trial vouchers and copay coupon savings that are electronically added to an e-Prescription and sent electronically to the pharmacy and is integrated within leading electronic health record (EHR) platforms in the country, including Allscripts, Quest Diagnostics, Practice Fusion and over 350 other EHRs to reach over 250,000 healthcare providers. In turn, OptimizeRx promotes patient savings and support from the world’s largest pharmaceutical companies, including Pfizer, Lilly, Novartis, AstraZeneca and many others. For more information, please go to www.optimizerxcorp.com.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OptimizeRx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Doug Baker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248-651-6568 x807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Liolios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Ron Both, Senior Managing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oprx@liolios.com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949-574-3860</w:t>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2019-12-08T17:11:55Z</dcterms:created>
  <dcterms:modified xsi:type="dcterms:W3CDTF">2019-12-08T17:11:55Z</dcterms:modified>
</cp:coreProperties>
</file>