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600" w:type="dxa"/>
            <w:vAlign w:val="bottom"/>
          </w:tcPr>
          <w:p>
            <w:pPr>
              <w:spacing w:after="0"/>
              <w:rPr>
                <w:sz w:val="20"/>
                <w:szCs w:val="20"/>
                <w:color w:val="auto"/>
              </w:rPr>
            </w:pPr>
          </w:p>
        </w:tc>
      </w:tr>
      <w:tr>
        <w:trPr>
          <w:trHeight w:val="410"/>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tc>
        <w:tc>
          <w:tcPr>
            <w:tcW w:w="3600" w:type="dxa"/>
            <w:vAlign w:val="bottom"/>
          </w:tcPr>
          <w:p>
            <w:pPr>
              <w:spacing w:after="0"/>
              <w:rPr>
                <w:sz w:val="24"/>
                <w:szCs w:val="24"/>
                <w:color w:val="auto"/>
              </w:rPr>
            </w:pPr>
          </w:p>
        </w:tc>
      </w:tr>
      <w:tr>
        <w:trPr>
          <w:trHeight w:val="238"/>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c>
          <w:tcPr>
            <w:tcW w:w="3600" w:type="dxa"/>
            <w:vAlign w:val="bottom"/>
          </w:tcPr>
          <w:p>
            <w:pPr>
              <w:spacing w:after="0"/>
              <w:rPr>
                <w:sz w:val="20"/>
                <w:szCs w:val="20"/>
                <w:color w:val="auto"/>
              </w:rPr>
            </w:pPr>
          </w:p>
        </w:tc>
      </w:tr>
      <w:tr>
        <w:trPr>
          <w:trHeight w:val="432"/>
        </w:trPr>
        <w:tc>
          <w:tcPr>
            <w:tcW w:w="2920" w:type="dxa"/>
            <w:vAlign w:val="bottom"/>
          </w:tcPr>
          <w:p>
            <w:pPr>
              <w:spacing w:after="0"/>
              <w:rPr>
                <w:sz w:val="24"/>
                <w:szCs w:val="24"/>
                <w:color w:val="auto"/>
              </w:rPr>
            </w:pPr>
          </w:p>
        </w:tc>
        <w:tc>
          <w:tcPr>
            <w:tcW w:w="8320" w:type="dxa"/>
            <w:vAlign w:val="bottom"/>
            <w:gridSpan w:val="7"/>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March 12, 2025</w:t>
            </w:r>
          </w:p>
        </w:tc>
      </w:tr>
      <w:tr>
        <w:trPr>
          <w:trHeight w:val="414"/>
        </w:trPr>
        <w:tc>
          <w:tcPr>
            <w:tcW w:w="2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c>
          <w:tcPr>
            <w:tcW w:w="360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3600" w:type="dxa"/>
            <w:vAlign w:val="bottom"/>
          </w:tcPr>
          <w:p>
            <w:pPr>
              <w:spacing w:after="0"/>
              <w:rPr>
                <w:sz w:val="20"/>
                <w:szCs w:val="20"/>
                <w:color w:val="auto"/>
              </w:rPr>
            </w:pPr>
          </w:p>
        </w:tc>
      </w:tr>
      <w:tr>
        <w:trPr>
          <w:trHeight w:val="453"/>
        </w:trPr>
        <w:tc>
          <w:tcPr>
            <w:tcW w:w="292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520" w:type="dxa"/>
            <w:vAlign w:val="bottom"/>
            <w:gridSpan w:val="5"/>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001-38543</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26-1265381</w:t>
            </w:r>
          </w:p>
        </w:tc>
      </w:tr>
      <w:tr>
        <w:trPr>
          <w:trHeight w:val="198"/>
        </w:trPr>
        <w:tc>
          <w:tcPr>
            <w:tcW w:w="2920" w:type="dxa"/>
            <w:vAlign w:val="bottom"/>
            <w:tcBorders>
              <w:top w:val="single" w:sz="8" w:color="auto"/>
            </w:tcBorders>
          </w:tcPr>
          <w:p>
            <w:pPr>
              <w:jc w:val="center"/>
              <w:ind w:left="5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9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7640" w:type="dxa"/>
            <w:vAlign w:val="bottom"/>
            <w:gridSpan w:val="7"/>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260 Charles Street, Suite 302, Waltham, MA</w:t>
            </w: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02453</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00" w:type="dxa"/>
            <w:vAlign w:val="bottom"/>
            <w:tcBorders>
              <w:top w:val="single" w:sz="8" w:color="auto"/>
            </w:tcBorders>
            <w:gridSpan w:val="2"/>
          </w:tcPr>
          <w:p>
            <w:pPr>
              <w:spacing w:after="0"/>
              <w:rPr>
                <w:sz w:val="20"/>
                <w:szCs w:val="20"/>
                <w:color w:val="auto"/>
              </w:rPr>
            </w:pPr>
          </w:p>
        </w:tc>
        <w:tc>
          <w:tcPr>
            <w:tcW w:w="3600" w:type="dxa"/>
            <w:vAlign w:val="bottom"/>
            <w:tcBorders>
              <w:top w:val="single" w:sz="8" w:color="auto"/>
            </w:tcBorders>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248.651.6568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OPRX</w:t>
            </w:r>
          </w:p>
        </w:tc>
        <w:tc>
          <w:tcPr>
            <w:tcW w:w="2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12, 2025, OptimizeRx Corporation issued a press release announcing its financial results for the fourth quarter and full year ended December 31, 2024, providing Key Performance Indicators and initial 2025 guidance. A copy of the press release is furnished with this Current Report on Form 8-K as Exhibit 99.1 and is incorporated herein by reference.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Number</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March 12, 2025</w:t>
      </w:r>
    </w:p>
    <w:p>
      <w:pPr>
        <w:spacing w:after="0" w:line="27" w:lineRule="exact"/>
        <w:rPr>
          <w:sz w:val="20"/>
          <w:szCs w:val="20"/>
          <w:color w:val="auto"/>
        </w:rPr>
      </w:pPr>
    </w:p>
    <w:p>
      <w:pPr>
        <w:ind w:left="5580" w:right="4160" w:hanging="5572"/>
        <w:spacing w:after="0" w:line="636"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OPTIMIZERX CORPORATION</w:t>
            </w:r>
          </w:p>
        </w:tc>
      </w:tr>
      <w:tr>
        <w:trPr>
          <w:trHeight w:val="439"/>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Stelmakh</w:t>
            </w:r>
          </w:p>
        </w:tc>
      </w:tr>
      <w:tr>
        <w:trPr>
          <w:trHeight w:val="198"/>
        </w:trPr>
        <w:tc>
          <w:tcPr>
            <w:tcW w:w="3580" w:type="dxa"/>
            <w:vAlign w:val="bottom"/>
          </w:tcPr>
          <w:p>
            <w:pPr>
              <w:spacing w:after="0"/>
              <w:rPr>
                <w:sz w:val="17"/>
                <w:szCs w:val="17"/>
                <w:color w:val="auto"/>
              </w:rPr>
            </w:pPr>
          </w:p>
        </w:tc>
        <w:tc>
          <w:tcPr>
            <w:tcW w:w="3740" w:type="dxa"/>
            <w:vAlign w:val="bottom"/>
          </w:tcPr>
          <w:p>
            <w:pPr>
              <w:ind w:left="31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Stelmakh</w:t>
            </w:r>
          </w:p>
        </w:tc>
      </w:tr>
      <w:tr>
        <w:trPr>
          <w:trHeight w:val="234"/>
        </w:trPr>
        <w:tc>
          <w:tcPr>
            <w:tcW w:w="3580" w:type="dxa"/>
            <w:vAlign w:val="bottom"/>
          </w:tcPr>
          <w:p>
            <w:pPr>
              <w:spacing w:after="0"/>
              <w:rPr>
                <w:sz w:val="20"/>
                <w:szCs w:val="20"/>
                <w:color w:val="auto"/>
              </w:rPr>
            </w:pPr>
          </w:p>
        </w:tc>
        <w:tc>
          <w:tcPr>
            <w:tcW w:w="374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8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156845</wp:posOffset>
            </wp:positionV>
            <wp:extent cx="221170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117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OptimizeRx Reports Strong Fourth Quarter and Full Year 2024 Financial Results</w:t>
      </w:r>
    </w:p>
    <w:p>
      <w:pPr>
        <w:spacing w:after="0" w:line="229"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revenue of $32.3 million, increasing 14% year-over-year</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Q4 gross profit increased 23% year-over-year to $22.0 million with gross margin of 68%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generated revenue from 48 DAAP deals in 2024, up from 24 in 2023</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 – March 12, 2025 – </w:t>
      </w:r>
      <w:r>
        <w:rPr>
          <w:rFonts w:ascii="Times New Roman" w:cs="Times New Roman" w:eastAsia="Times New Roman" w:hAnsi="Times New Roman"/>
          <w:sz w:val="18"/>
          <w:szCs w:val="18"/>
          <w:color w:val="auto"/>
        </w:rPr>
        <w:t>OptimizeRx Corp. (the “Company”) (Nasdaq: OPRX), a leading provider of healthcare technology solutions helping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sciences companies reach and engage healthcare professionals (HCPs) and patients, today announced results for the fourth quarter and full year ended December 31,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r>
      <w:tr>
        <w:trPr>
          <w:trHeight w:val="245"/>
        </w:trPr>
        <w:tc>
          <w:tcPr>
            <w:tcW w:w="8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Key Performance Indicators (KPIs)*</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60" w:type="dxa"/>
            <w:vAlign w:val="bottom"/>
          </w:tcPr>
          <w:p>
            <w:pPr>
              <w:spacing w:after="0"/>
              <w:rPr>
                <w:sz w:val="20"/>
                <w:szCs w:val="20"/>
                <w:color w:val="auto"/>
              </w:rPr>
            </w:pPr>
          </w:p>
        </w:tc>
      </w:tr>
      <w:tr>
        <w:trPr>
          <w:trHeight w:val="194"/>
        </w:trPr>
        <w:tc>
          <w:tcPr>
            <w:tcW w:w="8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3"/>
          </w:tcPr>
          <w:p>
            <w:pPr>
              <w:jc w:val="center"/>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(in thousands, except</w:t>
            </w:r>
          </w:p>
        </w:tc>
        <w:tc>
          <w:tcPr>
            <w:tcW w:w="160" w:type="dxa"/>
            <w:vAlign w:val="bottom"/>
          </w:tcPr>
          <w:p>
            <w:pPr>
              <w:spacing w:after="0"/>
              <w:rPr>
                <w:sz w:val="16"/>
                <w:szCs w:val="16"/>
                <w:color w:val="auto"/>
              </w:rPr>
            </w:pPr>
          </w:p>
        </w:tc>
      </w:tr>
      <w:tr>
        <w:trPr>
          <w:trHeight w:val="238"/>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b w:val="1"/>
                <w:bCs w:val="1"/>
                <w:color w:val="auto"/>
                <w:w w:val="98"/>
              </w:rPr>
              <w:t>percentages)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revenue per top 20 pharmaceutical manufacturer</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2,933</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2,399</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 of top 20 pharmaceutical manufacturers that are customers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total revenue attributable to top 20 pharmaceutical manufacturers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per average full-time employee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586</w:t>
            </w: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Stephen L. Silvestro, OptimizeRx CEO commented, “I’m incredibly proud of our strong fourth quarter and full year 2024 results and the momentum that we’ve achieved since we reported third quarter results last November, including, among our other successes, that we surpassed our expectations as well as consensus estimates. With the strong tailwinds we saw at the end of 2024 and into the start of 2025, we believe we are uniquely positioned to grow shareholder value by leveraging our industry leadership position in addressing pharma’s most critical commercial challenges: improving brand visibility in an increasingly digital healthcare environment, reducing script abandonment rates, enhancing interoperability at the point of care, and supporting the shift toward complex specialty medications.”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the success of our ongoing transformation becomes more reflected in our financial results, now more than ever, we will be laser-focused on operational excellence and disciplined execution while ensuring we delight our customers and forge stronger relationships with valued business partners. Over the past few months, we have completed an extensive strategic review of the Company’s business processes, operations, revenue model, and growth plans and believe we are on the right path forward for shareholder value creation. As we move through fiscal 2025 and leverage the strong momentum we had in 2024, we plan to continue the Company’s growth and transformation, focusing very closely on customer-centricity and delight, continuing to expand our unique value proposition with pharma, positioning OptimizeRx to become a “Rule of 40 company,” and unlocking new opportunities for profitable revenue growth and shareholder value creation. A key component of our strategy includes transitioning our DAAP customers to a more predictable subscription-based model for data services, which we expect will improve margins, increase visibility, reduce the cyclical nature of our business, and facilitate our ability to more effectively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 the fourth quarter of 2024 increased 14% to $32.3 million, from $28.4 million in the same period of 2023, with the full year revenue coming in at $92.1 million, a 29% increase when compared to the same year-ago period.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in the fourth quarter of 2024 increased 23% year-over-year to $22.0 million. Gross profit for the full year came in at $59.4 million.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net (loss) in the fourth quarter totaled $(0.1) million or $0.00 per basic and diluted share and GAAP net (loss) for the full year totaled $(20.1) million or $(1.10) per basic and diluted share.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 in the fourth quarter totaled $5.5 million or $0.30 per diluted share and came in at $6.2 million or $0.34 per diluted share for the full year (see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for the fourth quarter came in at $8.8 million a 53% increase from the $5.8 million we recognized during the same year-ago period. Adjusted EBITDA for the full year came in at $11.7 million (see *</w:t>
      </w:r>
      <w:r>
        <w:rPr>
          <w:rFonts w:ascii="Times New Roman" w:cs="Times New Roman" w:eastAsia="Times New Roman" w:hAnsi="Times New Roman"/>
          <w:sz w:val="18"/>
          <w:szCs w:val="18"/>
          <w:i w:val="1"/>
          <w:iCs w:val="1"/>
          <w:color w:val="auto"/>
        </w:rPr>
        <w:t>Non-GAAP Measures</w:t>
      </w:r>
      <w:r>
        <w:rPr>
          <w:rFonts w:ascii="Times New Roman" w:cs="Times New Roman" w:eastAsia="Times New Roman" w:hAnsi="Times New Roman"/>
          <w:sz w:val="18"/>
          <w:szCs w:val="18"/>
          <w:color w:val="auto"/>
        </w:rPr>
        <w:t xml:space="preserve"> below).</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was $13.4 million as of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$4.9 million for the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providing full year 2025 guidance and expects revenue to be at least $100 million with an Adjusted EBITDA of at least $12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Webcast, and Webcast Replay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Wednesday, March 12, 2025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8:30 a.m. Eastern Time</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Toll Free:</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1-844-825-9789</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1-412-317-5180</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Conference ID:</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10197021</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Call Me:</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https://callme.viavid.com/?$Y2FsbG1lPXRydWUmcGFzc2NvZGU9JmluZm89Y29tcGFueSZyPXRydWUmYj0xNg==</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Webcast:</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https://viavid.webcasts.com/starthere.jsp?ei=1708545&amp;tp_key=86684771bf</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Call Me Passcode:</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2202248</w:t>
            </w:r>
          </w:p>
        </w:tc>
      </w:tr>
      <w:tr>
        <w:trPr>
          <w:trHeight w:val="238"/>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Webcast Replay:</w:t>
            </w:r>
          </w:p>
        </w:tc>
        <w:tc>
          <w:tcPr>
            <w:tcW w:w="9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archived webcast will be on the investor relations section of the OptimizeRx website</w:t>
            </w:r>
          </w:p>
        </w:tc>
      </w:tr>
      <w:tr>
        <w:trPr>
          <w:trHeight w:val="547"/>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ind w:left="37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Individual Meeting Invitation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svonderweid@lifesciadvisors.com.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Key Performance Indicators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Top 20 pharmaceutical manufacturers: </w:t>
      </w:r>
      <w:r>
        <w:rPr>
          <w:rFonts w:ascii="Times New Roman" w:cs="Times New Roman" w:eastAsia="Times New Roman" w:hAnsi="Times New Roman"/>
          <w:sz w:val="18"/>
          <w:szCs w:val="18"/>
          <w:color w:val="auto"/>
        </w:rPr>
        <w:t>We have updated the definition of “top 20 pharmaceutical manufacturers” in our key performance indicators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based upon Fierce Pharma’s most updated list of “The top 20 pharma companies by 2023 revenue”. We previously used “The top 20 pharma companies by 2022 revenue”. As a result of this change, prior periods have been restated for comparative purposes.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Net revenue retention</w:t>
      </w:r>
      <w:r>
        <w:rPr>
          <w:rFonts w:ascii="Times New Roman" w:cs="Times New Roman" w:eastAsia="Times New Roman" w:hAnsi="Times New Roman"/>
          <w:sz w:val="18"/>
          <w:szCs w:val="18"/>
          <w:color w:val="auto"/>
        </w:rPr>
        <w:t>: Net revenue retention is a comparison of revenue generated from all clients in the previous period to total revenue generated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same clients in the following year (i.e., excludes new client relationships for the most recent year).</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per average full-time employee: </w:t>
      </w:r>
      <w:r>
        <w:rPr>
          <w:rFonts w:ascii="Times New Roman" w:cs="Times New Roman" w:eastAsia="Times New Roman" w:hAnsi="Times New Roman"/>
          <w:sz w:val="18"/>
          <w:szCs w:val="18"/>
          <w:color w:val="auto"/>
        </w:rPr>
        <w:t>We define revenue per average full-time employee (FTE) as total revenue over the last 12 months (LTM)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divided by the average number of employees over the LTM, which is calculated by taking our total number of FTEs at the end of the prior year period by our total FTE headcount at the end of the most recent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OptimizeRx</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Cautions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growth, business plans, future performance, expected revenues, expected Adjusted EBITDA, plans to grow shareholder value creation, plans to continue the Company’s growth and transformation, plans for unlocking new opportunities for profitable revenue growth, plans for expanding the Company’s value proposition with pharma, plans to position the Company to become a “Rule of 40” company, plans for forging stronger relationships with valued business partners, other business plans and operating and financial performance objectives,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2023,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D’Silva, SVP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adsilva@optimizerx.com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Sandya von der Weid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svonderweid@lifesciadvisors.com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3940"/>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$335 and $239 at December 31, 2024 and 2023,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38,212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receivable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3,190</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78,357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rights,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6,185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Tradename and customer relationships,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34,198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deposits and other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117,047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128,894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171,168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 trade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8,486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18,654</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17,882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30,816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34,231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4,337</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10,000,000 shares authorized, none issued and outstanding at December 31, 2024</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2023,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166,666,667 shares authorized, 20,194,697 and 19,899,679 shares issued at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$0.001 par value,1,741,397 shares purchased at December 31, 2024 and 2023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190,793</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(84,368)</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(64,258)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171,168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183,374</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00" w:type="dxa"/>
            <w:vAlign w:val="bottom"/>
          </w:tcPr>
          <w:p>
            <w:pPr>
              <w:spacing w:after="0"/>
              <w:rPr>
                <w:sz w:val="18"/>
                <w:szCs w:val="18"/>
                <w:color w:val="auto"/>
              </w:rPr>
            </w:pPr>
          </w:p>
        </w:tc>
        <w:tc>
          <w:tcPr>
            <w:tcW w:w="2340" w:type="dxa"/>
            <w:vAlign w:val="bottom"/>
            <w:gridSpan w:val="5"/>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5"/>
        </w:trPr>
        <w:tc>
          <w:tcPr>
            <w:tcW w:w="5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1"/>
                <w:szCs w:val="21"/>
                <w:color w:val="auto"/>
              </w:rPr>
            </w:pPr>
          </w:p>
        </w:tc>
        <w:tc>
          <w:tcPr>
            <w:tcW w:w="2340" w:type="dxa"/>
            <w:vAlign w:val="bottom"/>
            <w:gridSpan w:val="5"/>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32,317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28,369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92,127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71,522</w:t>
            </w:r>
          </w:p>
        </w:tc>
        <w:tc>
          <w:tcPr>
            <w:tcW w:w="0" w:type="dxa"/>
            <w:vAlign w:val="bottom"/>
          </w:tcPr>
          <w:p>
            <w:pPr>
              <w:spacing w:after="0"/>
              <w:rPr>
                <w:sz w:val="1"/>
                <w:szCs w:val="1"/>
                <w:color w:val="auto"/>
              </w:rPr>
            </w:pPr>
          </w:p>
        </w:tc>
      </w:tr>
      <w:tr>
        <w:trPr>
          <w:trHeight w:val="198"/>
        </w:trPr>
        <w:tc>
          <w:tcPr>
            <w:tcW w:w="5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revenues, exclusive of depreciation and amortization presented</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separately below</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10,293</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10,528</w:t>
            </w:r>
          </w:p>
        </w:tc>
        <w:tc>
          <w:tcPr>
            <w:tcW w:w="200" w:type="dxa"/>
            <w:vAlign w:val="bottom"/>
          </w:tcPr>
          <w:p>
            <w:pPr>
              <w:spacing w:after="0"/>
              <w:rPr>
                <w:sz w:val="22"/>
                <w:szCs w:val="22"/>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32,749</w:t>
            </w:r>
          </w:p>
        </w:tc>
        <w:tc>
          <w:tcPr>
            <w:tcW w:w="200" w:type="dxa"/>
            <w:vAlign w:val="bottom"/>
          </w:tcPr>
          <w:p>
            <w:pPr>
              <w:spacing w:after="0"/>
              <w:rPr>
                <w:sz w:val="22"/>
                <w:szCs w:val="22"/>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28,622</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2,937</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2,627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11,467</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a business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1,094</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4,329</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6,738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3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sales, general and administrative expenses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14,358</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16,231</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49,799</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44,303</w:t>
            </w:r>
          </w:p>
        </w:tc>
        <w:tc>
          <w:tcPr>
            <w:tcW w:w="0" w:type="dxa"/>
            <w:vAlign w:val="bottom"/>
          </w:tcPr>
          <w:p>
            <w:pPr>
              <w:spacing w:after="0"/>
              <w:rPr>
                <w:sz w:val="1"/>
                <w:szCs w:val="1"/>
                <w:color w:val="auto"/>
              </w:rPr>
            </w:pPr>
          </w:p>
        </w:tc>
      </w:tr>
      <w:tr>
        <w:trPr>
          <w:trHeight w:val="236"/>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18,389</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3,635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(10,903)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(13,706)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(26,402)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(1,563)</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(1,454)</w:t>
            </w:r>
          </w:p>
        </w:tc>
        <w:tc>
          <w:tcPr>
            <w:tcW w:w="20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(6,160)</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328</w:t>
            </w:r>
          </w:p>
        </w:tc>
        <w:tc>
          <w:tcPr>
            <w:tcW w:w="2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2,192</w:t>
            </w:r>
          </w:p>
        </w:tc>
        <w:tc>
          <w:tcPr>
            <w:tcW w:w="0" w:type="dxa"/>
            <w:vAlign w:val="bottom"/>
          </w:tcPr>
          <w:p>
            <w:pPr>
              <w:spacing w:after="0"/>
              <w:rPr>
                <w:sz w:val="1"/>
                <w:szCs w:val="1"/>
                <w:color w:val="auto"/>
              </w:rPr>
            </w:pPr>
          </w:p>
        </w:tc>
      </w:tr>
      <w:tr>
        <w:trPr>
          <w:trHeight w:val="236"/>
        </w:trPr>
        <w:tc>
          <w:tcPr>
            <w:tcW w:w="53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provision for income taxes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2,209</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(11,739)</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(19,385)</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(2,286)</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7,598</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(725)</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5340" w:type="dxa"/>
            <w:vAlign w:val="bottom"/>
            <w:vMerge w:val="continue"/>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vMerge w:val="continue"/>
          </w:tcPr>
          <w:p>
            <w:pPr>
              <w:spacing w:after="0"/>
              <w:rPr>
                <w:sz w:val="24"/>
                <w:szCs w:val="24"/>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20" w:type="dxa"/>
            <w:vAlign w:val="bottom"/>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Weighted average number of shares outstanding – basic</w:t>
            </w:r>
          </w:p>
        </w:tc>
        <w:tc>
          <w:tcPr>
            <w:tcW w:w="6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18,418,519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17,769,670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18,292,935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340" w:type="dxa"/>
            <w:vAlign w:val="bottom"/>
            <w:tcBorders>
              <w:bottom w:val="single" w:sz="8" w:color="CCEEFF"/>
            </w:tcBorders>
            <w:vMerge w:val="continue"/>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18,418,519</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17,769,670</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18,292,935</w:t>
            </w:r>
          </w:p>
        </w:tc>
        <w:tc>
          <w:tcPr>
            <w:tcW w:w="2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17,124,801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Loss per share – basic</w:t>
            </w:r>
          </w:p>
        </w:tc>
        <w:tc>
          <w:tcPr>
            <w:tcW w:w="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share – diluted</w:t>
            </w:r>
          </w:p>
        </w:tc>
        <w:tc>
          <w:tcPr>
            <w:tcW w:w="7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53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Bad debt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11,466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(2,168)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share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1,515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loan fees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4,889</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(7,240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218,709</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software development costs and 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(25,337</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(USED IN) / PROVIDED BY FINANCING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 net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37,730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employee withholding taxes related to the vesting of restricted stock units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stock options, net of cash paid for withholding taxes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(USED IN) /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(4,911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28,220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13,852</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18,209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13,380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13,852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Shares issued in connection with acquisition</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86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OPTIMIZERX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to GAAP FINANCIAL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earnings release includes certain financial measures not derived in accordance with generally accepted accounting principles (GAAP). 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deferred income taxes, as well as other items that management believes are not related to the Company’s ongoing performance.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(7,695)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expense</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3,902</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5,538</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4,425</w:t>
            </w:r>
          </w:p>
        </w:tc>
        <w:tc>
          <w:tcPr>
            <w:tcW w:w="0" w:type="dxa"/>
            <w:vAlign w:val="bottom"/>
          </w:tcPr>
          <w:p>
            <w:pPr>
              <w:spacing w:after="0"/>
              <w:rPr>
                <w:sz w:val="1"/>
                <w:szCs w:val="1"/>
                <w:color w:val="auto"/>
              </w:rPr>
            </w:pP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Non-GAAP net income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Weighted average shares outstanding: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0.30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80"/>
        </w:trPr>
        <w:tc>
          <w:tcPr>
            <w:tcW w:w="2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18,464,605</w:t>
            </w:r>
          </w:p>
        </w:tc>
        <w:tc>
          <w:tcPr>
            <w:tcW w:w="2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17,789,235</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18,583,936</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17,191,300</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-685165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-367665</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54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For the Twelve Months Ended</w:t>
            </w:r>
          </w:p>
        </w:tc>
        <w:tc>
          <w:tcPr>
            <w:tcW w:w="0" w:type="dxa"/>
            <w:vAlign w:val="bottom"/>
          </w:tcPr>
          <w:p>
            <w:pPr>
              <w:spacing w:after="0"/>
              <w:rPr>
                <w:sz w:val="1"/>
                <w:szCs w:val="1"/>
                <w:color w:val="auto"/>
              </w:rPr>
            </w:pPr>
          </w:p>
        </w:tc>
      </w:tr>
      <w:tr>
        <w:trPr>
          <w:trHeight w:val="245"/>
        </w:trPr>
        <w:tc>
          <w:tcPr>
            <w:tcW w:w="388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23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3880" w:type="dxa"/>
            <w:vAlign w:val="bottom"/>
            <w:tcBorders>
              <w:bottom w:val="single" w:sz="8" w:color="CCEEFF"/>
            </w:tcBorders>
          </w:tcPr>
          <w:p>
            <w:pPr>
              <w:spacing w:after="0"/>
              <w:rPr>
                <w:sz w:val="20"/>
                <w:szCs w:val="20"/>
                <w:color w:val="auto"/>
              </w:rPr>
            </w:pPr>
          </w:p>
        </w:tc>
        <w:tc>
          <w:tcPr>
            <w:tcW w:w="2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2,937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13,717</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6,738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6,738</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business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Severance charges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expense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(income),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2,286</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(7,598)</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(7,598)</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8,849</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5,800</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11,730</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2025-03-12T06:49:32Z</dcterms:created>
  <dcterms:modified xsi:type="dcterms:W3CDTF">2025-03-12T06:49:32Z</dcterms:modified>
</cp:coreProperties>
</file>