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360" w:type="dxa"/>
            <w:vAlign w:val="bottom"/>
            <w:gridSpan w:val="6"/>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160" w:type="dxa"/>
            <w:vAlign w:val="bottom"/>
          </w:tcPr>
          <w:p>
            <w:pPr>
              <w:spacing w:after="0"/>
              <w:rPr>
                <w:sz w:val="20"/>
                <w:szCs w:val="20"/>
                <w:color w:val="auto"/>
              </w:rPr>
            </w:pPr>
          </w:p>
        </w:tc>
      </w:tr>
      <w:tr>
        <w:trPr>
          <w:trHeight w:val="410"/>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60" w:type="dxa"/>
            <w:vAlign w:val="bottom"/>
            <w:gridSpan w:val="6"/>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160" w:type="dxa"/>
            <w:vAlign w:val="bottom"/>
          </w:tcPr>
          <w:p>
            <w:pPr>
              <w:spacing w:after="0"/>
              <w:rPr>
                <w:sz w:val="24"/>
                <w:szCs w:val="24"/>
                <w:color w:val="auto"/>
              </w:rPr>
            </w:pPr>
          </w:p>
        </w:tc>
      </w:tr>
      <w:tr>
        <w:trPr>
          <w:trHeight w:val="216"/>
        </w:trPr>
        <w:tc>
          <w:tcPr>
            <w:tcW w:w="2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gridSpan w:val="7"/>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w:t>
            </w:r>
          </w:p>
        </w:tc>
        <w:tc>
          <w:tcPr>
            <w:tcW w:w="3160" w:type="dxa"/>
            <w:vAlign w:val="bottom"/>
          </w:tcPr>
          <w:p>
            <w:pPr>
              <w:spacing w:after="0"/>
              <w:rPr>
                <w:sz w:val="18"/>
                <w:szCs w:val="18"/>
                <w:color w:val="auto"/>
              </w:rPr>
            </w:pPr>
          </w:p>
        </w:tc>
      </w:tr>
      <w:tr>
        <w:trPr>
          <w:trHeight w:val="238"/>
        </w:trPr>
        <w:tc>
          <w:tcPr>
            <w:tcW w:w="2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60" w:type="dxa"/>
            <w:vAlign w:val="bottom"/>
            <w:gridSpan w:val="8"/>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3160" w:type="dxa"/>
            <w:vAlign w:val="bottom"/>
          </w:tcPr>
          <w:p>
            <w:pPr>
              <w:spacing w:after="0"/>
              <w:rPr>
                <w:sz w:val="20"/>
                <w:szCs w:val="20"/>
                <w:color w:val="auto"/>
              </w:rPr>
            </w:pPr>
          </w:p>
        </w:tc>
      </w:tr>
      <w:tr>
        <w:trPr>
          <w:trHeight w:val="432"/>
        </w:trPr>
        <w:tc>
          <w:tcPr>
            <w:tcW w:w="2980" w:type="dxa"/>
            <w:vAlign w:val="bottom"/>
          </w:tcPr>
          <w:p>
            <w:pPr>
              <w:spacing w:after="0"/>
              <w:rPr>
                <w:sz w:val="24"/>
                <w:szCs w:val="24"/>
                <w:color w:val="auto"/>
              </w:rPr>
            </w:pPr>
          </w:p>
        </w:tc>
        <w:tc>
          <w:tcPr>
            <w:tcW w:w="5100" w:type="dxa"/>
            <w:vAlign w:val="bottom"/>
            <w:gridSpan w:val="9"/>
          </w:tcPr>
          <w:p>
            <w:pPr>
              <w:jc w:val="center"/>
              <w:ind w:left="9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November 9, 2020</w:t>
            </w:r>
          </w:p>
        </w:tc>
        <w:tc>
          <w:tcPr>
            <w:tcW w:w="3160" w:type="dxa"/>
            <w:vAlign w:val="bottom"/>
          </w:tcPr>
          <w:p>
            <w:pPr>
              <w:spacing w:after="0"/>
              <w:rPr>
                <w:sz w:val="24"/>
                <w:szCs w:val="24"/>
                <w:color w:val="auto"/>
              </w:rPr>
            </w:pPr>
          </w:p>
        </w:tc>
      </w:tr>
      <w:tr>
        <w:trPr>
          <w:trHeight w:val="391"/>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60" w:type="dxa"/>
            <w:vAlign w:val="bottom"/>
            <w:gridSpan w:val="6"/>
          </w:tcPr>
          <w:p>
            <w:pPr>
              <w:jc w:val="center"/>
              <w:ind w:right="1560"/>
              <w:spacing w:after="0"/>
              <w:rPr>
                <w:sz w:val="20"/>
                <w:szCs w:val="20"/>
                <w:color w:val="auto"/>
              </w:rPr>
            </w:pPr>
            <w:r>
              <w:rPr>
                <w:rFonts w:ascii="Times New Roman" w:cs="Times New Roman" w:eastAsia="Times New Roman" w:hAnsi="Times New Roman"/>
                <w:sz w:val="18"/>
                <w:szCs w:val="18"/>
                <w:color w:val="auto"/>
              </w:rPr>
              <w:t>OptimizeRx Corporation</w:t>
            </w:r>
          </w:p>
        </w:tc>
        <w:tc>
          <w:tcPr>
            <w:tcW w:w="3160" w:type="dxa"/>
            <w:vAlign w:val="bottom"/>
          </w:tcPr>
          <w:p>
            <w:pPr>
              <w:spacing w:after="0"/>
              <w:rPr>
                <w:sz w:val="24"/>
                <w:szCs w:val="24"/>
                <w:color w:val="auto"/>
              </w:rPr>
            </w:pPr>
          </w:p>
        </w:tc>
      </w:tr>
      <w:tr>
        <w:trPr>
          <w:trHeight w:val="20"/>
        </w:trPr>
        <w:tc>
          <w:tcPr>
            <w:tcW w:w="2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37"/>
        </w:trPr>
        <w:tc>
          <w:tcPr>
            <w:tcW w:w="2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60" w:type="dxa"/>
            <w:vAlign w:val="bottom"/>
            <w:gridSpan w:val="8"/>
          </w:tcPr>
          <w:p>
            <w:pPr>
              <w:jc w:val="center"/>
              <w:ind w:right="4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60" w:type="dxa"/>
            <w:vAlign w:val="bottom"/>
          </w:tcPr>
          <w:p>
            <w:pPr>
              <w:spacing w:after="0"/>
              <w:rPr>
                <w:sz w:val="20"/>
                <w:szCs w:val="20"/>
                <w:color w:val="auto"/>
              </w:rPr>
            </w:pPr>
          </w:p>
        </w:tc>
      </w:tr>
      <w:tr>
        <w:trPr>
          <w:trHeight w:val="453"/>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8"/>
              </w:rPr>
              <w:t>Nevada</w:t>
            </w:r>
          </w:p>
        </w:tc>
        <w:tc>
          <w:tcPr>
            <w:tcW w:w="3540" w:type="dxa"/>
            <w:vAlign w:val="bottom"/>
            <w:gridSpan w:val="6"/>
          </w:tcPr>
          <w:p>
            <w:pPr>
              <w:jc w:val="center"/>
              <w:ind w:left="1670"/>
              <w:spacing w:after="0"/>
              <w:rPr>
                <w:sz w:val="20"/>
                <w:szCs w:val="20"/>
                <w:color w:val="auto"/>
              </w:rPr>
            </w:pPr>
            <w:r>
              <w:rPr>
                <w:rFonts w:ascii="Times New Roman" w:cs="Times New Roman" w:eastAsia="Times New Roman" w:hAnsi="Times New Roman"/>
                <w:sz w:val="18"/>
                <w:szCs w:val="18"/>
                <w:color w:val="auto"/>
                <w:w w:val="99"/>
              </w:rPr>
              <w:t>001-38543</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26-1265381</w:t>
            </w:r>
          </w:p>
        </w:tc>
      </w:tr>
      <w:tr>
        <w:trPr>
          <w:trHeight w:val="198"/>
        </w:trPr>
        <w:tc>
          <w:tcPr>
            <w:tcW w:w="2980" w:type="dxa"/>
            <w:vAlign w:val="bottom"/>
            <w:tcBorders>
              <w:top w:val="single" w:sz="8" w:color="auto"/>
            </w:tcBorders>
          </w:tcPr>
          <w:p>
            <w:pPr>
              <w:jc w:val="center"/>
              <w:ind w:left="55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5"/>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160" w:type="dxa"/>
            <w:vAlign w:val="bottom"/>
            <w:tcBorders>
              <w:top w:val="single" w:sz="8" w:color="auto"/>
            </w:tcBorders>
          </w:tcPr>
          <w:p>
            <w:pPr>
              <w:jc w:val="center"/>
              <w:ind w:right="3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8080" w:type="dxa"/>
            <w:vAlign w:val="bottom"/>
            <w:gridSpan w:val="10"/>
          </w:tcPr>
          <w:p>
            <w:pPr>
              <w:jc w:val="center"/>
              <w:ind w:right="2560"/>
              <w:spacing w:after="0"/>
              <w:rPr>
                <w:sz w:val="20"/>
                <w:szCs w:val="20"/>
                <w:color w:val="auto"/>
              </w:rPr>
            </w:pPr>
            <w:r>
              <w:rPr>
                <w:rFonts w:ascii="Times New Roman" w:cs="Times New Roman" w:eastAsia="Times New Roman" w:hAnsi="Times New Roman"/>
                <w:sz w:val="18"/>
                <w:szCs w:val="18"/>
                <w:color w:val="auto"/>
                <w:w w:val="98"/>
              </w:rPr>
              <w:t>400 Water Street, Suite 200, Rochester, MI</w:t>
            </w:r>
          </w:p>
        </w:tc>
        <w:tc>
          <w:tcPr>
            <w:tcW w:w="316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rPr>
              <w:t>48307</w:t>
            </w:r>
          </w:p>
        </w:tc>
      </w:tr>
      <w:tr>
        <w:trPr>
          <w:trHeight w:val="234"/>
        </w:trPr>
        <w:tc>
          <w:tcPr>
            <w:tcW w:w="552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3"/>
          </w:tcPr>
          <w:p>
            <w:pPr>
              <w:spacing w:after="0"/>
              <w:rPr>
                <w:sz w:val="20"/>
                <w:szCs w:val="20"/>
                <w:color w:val="auto"/>
              </w:rPr>
            </w:pPr>
          </w:p>
        </w:tc>
        <w:tc>
          <w:tcPr>
            <w:tcW w:w="3160" w:type="dxa"/>
            <w:vAlign w:val="bottom"/>
            <w:tcBorders>
              <w:top w:val="single" w:sz="8" w:color="auto"/>
            </w:tcBorders>
          </w:tcPr>
          <w:p>
            <w:pPr>
              <w:jc w:val="center"/>
              <w:ind w:right="22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291465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p>
        </w:tc>
        <w:tc>
          <w:tcPr>
            <w:tcW w:w="40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459"/>
        </w:trPr>
        <w:tc>
          <w:tcPr>
            <w:tcW w:w="436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40" w:type="dxa"/>
            <w:vAlign w:val="bottom"/>
            <w:gridSpan w:val="3"/>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40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3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ind w:right="770"/>
              <w:spacing w:after="0"/>
              <w:rPr>
                <w:sz w:val="20"/>
                <w:szCs w:val="20"/>
                <w:color w:val="auto"/>
              </w:rPr>
            </w:pPr>
            <w:r>
              <w:rPr>
                <w:rFonts w:ascii="Times New Roman" w:cs="Times New Roman" w:eastAsia="Times New Roman" w:hAnsi="Times New Roman"/>
                <w:sz w:val="18"/>
                <w:szCs w:val="18"/>
                <w:color w:val="auto"/>
                <w:w w:val="99"/>
              </w:rPr>
              <w:t>OPRX</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40" w:type="dxa"/>
            <w:vAlign w:val="bottom"/>
            <w:tcBorders>
              <w:top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16"/>
        </w:trPr>
        <w:tc>
          <w:tcPr>
            <w:tcW w:w="3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r>
      <w:tr>
        <w:trPr>
          <w:trHeight w:val="28"/>
        </w:trPr>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655"/>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On November 9, 2020, we issued a press release announcing the results of operations for the quarter ended September 30, 2020. The press release is furnished with this Current Report on Form 8-K as Exhibit 99.1.</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8"/>
            <w:szCs w:val="18"/>
            <w:u w:val="single" w:color="auto"/>
            <w:color w:val="0000EE"/>
          </w:rPr>
          <w:t>Press release, dated November 9, 2020</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43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2020</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156845</wp:posOffset>
            </wp:positionV>
            <wp:extent cx="1894205"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9420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OptimizeRx Third Quarter 2020 Revenue Up 110% to Record $10.5 Million, Driving Non-GAAP Net Income of $1.1 million or $0.07 Per Share</w:t>
      </w:r>
    </w:p>
    <w:p>
      <w:pPr>
        <w:spacing w:after="0" w:line="225"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ROCHESTER, Mich. – November 9, 2020 – </w:t>
      </w:r>
      <w:r>
        <w:rPr>
          <w:rFonts w:ascii="Times New Roman" w:cs="Times New Roman" w:eastAsia="Times New Roman" w:hAnsi="Times New Roman"/>
          <w:sz w:val="18"/>
          <w:szCs w:val="18"/>
          <w:color w:val="auto"/>
        </w:rPr>
        <w:t>OptimizeRx Corp. (Nasdaq: OPRX), a leading provider of digital health solutions for life science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reported results for the three and nine months ended September 30, 2020. Quarterly and nine months comparisons are to the same year-ago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 the third quarter of 2020 increased 110% to a record $10.5 million, with the first nine months of 2020 up 56% to a record $26.9 million.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 the third quarter of 2020 increased 99% to $6.0 million.</w:t>
      </w:r>
    </w:p>
    <w:p>
      <w:pPr>
        <w:spacing w:after="0" w:line="225" w:lineRule="exact"/>
        <w:rPr>
          <w:rFonts w:ascii="Times New Roman" w:cs="Times New Roman" w:eastAsia="Times New Roman" w:hAnsi="Times New Roman"/>
          <w:sz w:val="18"/>
          <w:szCs w:val="18"/>
          <w:color w:val="auto"/>
        </w:rPr>
      </w:pPr>
    </w:p>
    <w:p>
      <w:pPr>
        <w:ind w:left="340" w:right="6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loss totaled $0.3 million or $(0.02) per share in the third quarter, with non-GAAP net income at $1.1 million or $0.07 per share (see definition of this non-GAAP measure and reconciliation to GAAP, below).</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totaled $12.0 million at September 30, 2020.</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Closed additional enterprise deals, bringing total value of enterprise-level engagements to $21 million in annualized revenue.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Q3 2020 Operational Highlights</w:t>
      </w:r>
    </w:p>
    <w:p>
      <w:pPr>
        <w:spacing w:after="0" w:line="229" w:lineRule="exact"/>
        <w:rPr>
          <w:sz w:val="20"/>
          <w:szCs w:val="20"/>
          <w:color w:val="auto"/>
        </w:rPr>
      </w:pPr>
    </w:p>
    <w:p>
      <w:pPr>
        <w:ind w:left="340" w:right="60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direct-to-patient reach via partnership with Epion Health, a leader in digital patient engagement solutions, allowing patients at health systems and medical groups across the nation access to the OptimizeRx digital health and communications platform.</w:t>
      </w:r>
    </w:p>
    <w:p>
      <w:pPr>
        <w:spacing w:after="0" w:line="161" w:lineRule="exact"/>
        <w:rPr>
          <w:rFonts w:ascii="Times New Roman" w:cs="Times New Roman" w:eastAsia="Times New Roman" w:hAnsi="Times New Roman"/>
          <w:sz w:val="18"/>
          <w:szCs w:val="18"/>
          <w:color w:val="auto"/>
        </w:rPr>
      </w:pPr>
    </w:p>
    <w:p>
      <w:pPr>
        <w:ind w:left="340" w:right="32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Partnered with Higi, a consumer healthcare technology and engagement company, to provide healthcare consumers with financial assistance and treatment support programs at point-of-dispense. Higi provides OptimizeRx access to more than 10,000 self-service health stations nationwide that allow consumers to measure, track and act on their health data.</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digital health communication network in collaboration with Change Healthcare to enable providers in the Change Healthcare network to digitally receive important information from the life sciences industry via OptimizeRx.</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two SaaS-based enterprise-level engagements with a combined annual contract value of $3.6 million.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corporate governance with the addition of Greg Wasson, former president and CEO of Walgreens Boots Alliance, to the board of directors.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webinar series featuring industry thought leaders discussing innovative ideas for improving medication launches.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Q3 2020 Financial Summary</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Total revenue in the third quarter of 2020 increased 110% to a record $10.5 million versus $5.0 million in the same year-ago quarter. The quarterly increase was due to increases in sales in the company’s messaging products and patient engagement products, including from its acquisition of RMDY Health in 2019.</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Gross margin decreased to 57.1% in the third quarter of 2020 as compared to 60.4% in the year-ago quarter. The decrease was related to a change in mix of services provided. The company expects gross margin to improve in the fourth quarter with a target of 60% for the year.</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Operating expenses totaled $6.2 million, up from $5.0 million in the same year-ago quarter. The increase was due to the company’s efforts to expand its product line and build out its organization for future growth.</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loss on a GAAP basis in the third quarter of 2020 was $0.3 million or $(0.02) per share, as compared to a net loss of $1.6 million or $(0.11) per share in the third quarter of 2019.</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Non-GAAP net income for the third quarter of 2020 was $1.1 million or $0.07 per share, compared to non-GAAP net loss of $0.9 million or $(0.07) per diluted share in the same year-ago period (see definition of these non-GAAP measures and reconciliation to GAAP, below).</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While the company expects to return to GAAP profitability as its revenue grows, expenses related to investments in growth initiatives or non-cash charges could result in a GAAP loss in any given quarter. Given the opportunity at hand as discussed below, the company continues to be focused on top-line growth while maintaining a strong balance sheet.</w:t>
      </w:r>
    </w:p>
    <w:p>
      <w:pPr>
        <w:spacing w:after="0" w:line="17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Cash and cash equivalents totaled $12.0 million at September 30, 2020, as compared to $14.1 million at June 30, 2020. The decrease was due to an increased investment in working capital. The company has continued to operate debt-free and expects to be cash-flow positive for the remainder of the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Q3, we realized triple digit revenue growth, mostly organic, which drove strong non-GAAP net income,” stated OptimizeRx CEO, William Febbo. “It reflects how our pharma clients are increasingly seeing the point-of-care as essential to their marketing spend.”</w:t>
      </w:r>
    </w:p>
    <w:p>
      <w:pPr>
        <w:spacing w:after="0" w:line="1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also continued to see a growing proportion of enterprise-level recurring revenue and growing interest from our customer base for our new solutions, such as patient engagement, hub enrollment and TelaRep™. We finalized our integration and go-forward plan for patient engagement, which provides additional scale for driving growth in recurring revenue. It also opens up access to additional budgets within our client base and supports improved gross margins over time.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line="266" w:lineRule="auto"/>
        <w:rPr>
          <w:sz w:val="20"/>
          <w:szCs w:val="20"/>
          <w:color w:val="auto"/>
        </w:rPr>
      </w:pPr>
      <w:r>
        <w:rPr>
          <w:rFonts w:ascii="Times New Roman" w:cs="Times New Roman" w:eastAsia="Times New Roman" w:hAnsi="Times New Roman"/>
          <w:sz w:val="18"/>
          <w:szCs w:val="18"/>
          <w:color w:val="auto"/>
        </w:rPr>
        <w:t>“We expanded our platform reach during the quarter via our Higi and Epion partnerships that connect us digitally to millions of new patients. We see ourselves at just the beginning of a broad expansion into retail or point-of-dispense as another channel to enable affordability and adherence. Both of these partnerships are very timely, as we are all looking for ways to connect digitally at more points in the healthcare workflow and maximize access to care.</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seeing more rapid adoption of digital tools for doctors to combat the COVID disruption. Macro trends are in our favor as highlighted by the rapid adoption of telehealth and other digital tools. A clear theme forming is the need for the appropriate digital tools for doctors to maintain their practices with under such drastic disruptions occurring with the pandemic. This allows for our solutions to be highlighted as an effective tool set to help deliver care to patients.</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“Looking ahead, we are on track for a strong annual growth rate, non-GAAP income and positive cash flow from operational activities. Our pipeline is better than it has ever been, currently sitting at $140 million, nearly double versus this time last year. We continue to anticipate a close rate in the range of 35 percent to 50 percent, with these prospects keeping us on pace for another year of record growth in an expanding addressable market.”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OptimizeRx management will host the presentation, followed by a question and answer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Monday, November 9,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Toll-free dial-in number: 1-800-430-8332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dial-in number: 1-323-347-3277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9818386</w:t>
      </w:r>
    </w:p>
    <w:p>
      <w:pPr>
        <w:spacing w:after="0" w:line="20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Please call the conference telephone number five minutes prior to the start time. An operator will register your name and organization. If you have any difficulty connecting with the conference call, please contact CMA at 1-949-432-7566.</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replay of the call will be available after 7:30 p.m. Eastern time on the same day through November 30, 2020, as well as available for replay via the Investors section of the OptimizeRx website at optimizerx.com/investors.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Toll-free replay number: 1-844-512-2921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Replay ID: 9818386</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Definition and Use of Non-GAAP Financial Measures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This earnings release includes a presentation of non-GAAP net income (loss) and non-GAAP earnings (loss) per share or non-GAAP EPS, both of which are non-GAAP financial measures.</w:t>
      </w:r>
    </w:p>
    <w:p>
      <w:pPr>
        <w:spacing w:after="0" w:line="162"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7"/>
          <w:szCs w:val="17"/>
          <w:color w:val="auto"/>
        </w:rPr>
        <w:t>The company defines non-GAAP net income (loss) as GAAP net income (loss) with an adjustment to add back depreciation, amortization, non-cash lease expense, stock-based compensation, acquisition expenses, income or loss related to the fair value of contingent consideration, and deferred income taxes. Non-GAAP EPS is defined as non-GAAP net income (loss) divided by the number of weighted average shares outstanding on a basic and diluted basis.</w:t>
      </w:r>
    </w:p>
    <w:p>
      <w:pPr>
        <w:spacing w:after="0" w:line="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The company has provided non-GAAP financial measures to aid investors in better understanding its performance. Management believes that these non-GAAP financial measures provide additional insight into the operations and cashflow of the company.</w:t>
      </w:r>
    </w:p>
    <w:p>
      <w:pPr>
        <w:spacing w:after="0" w:line="1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Because of varying available valuation methodologies, subjective assumptions and the variety of equity instruments that can impact a company’s non-cash operating expenses, management believes that providing non-GAAP financial measures that excludes non-cash expenses allows for meaningful comparisons between the company’s core business operating results and those of other companies, as well as provides an important tool for financial and operational decision making and for evaluating the company’s own core business operating results over different periods of time.</w:t>
      </w:r>
    </w:p>
    <w:p>
      <w:pPr>
        <w:spacing w:after="0" w:line="18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The company’s non-GAAP net income (loss) and non-GAAP EPS measures may not provide information that is directly comparable to that provided by other companies in the company’s industry, as other companies in the industry may calculate such non-GAAP financial results differently. The company’s non-GAAP net income (loss) and non-GAAP EPS are not measurements of financial performance under GAAP and should not be considered as an alternative to operating income or as an indication of operating performance or any other measure of performance derived in accordance with GAAP. The company does not consider these non-GAAP measures to be substitutes for or superior to the information provided by its GAAP financial results.</w:t>
      </w:r>
    </w:p>
    <w:p>
      <w:pPr>
        <w:spacing w:after="0" w:line="16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table, “Reconciliation of non-GAAP to GAAP Financial Measures,” included below, provides a reconciliation of non-GAAP net income (loss) and non-GAAP EPS for the three months and nine months ended September 30, 2020 and 2019.</w:t>
      </w:r>
    </w:p>
    <w:p>
      <w:pPr>
        <w:spacing w:after="0" w:line="3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OptimizeRx Corporation (NASDAQ: OPRX) is a digital health company that facilitates communication at the point-of-care among all stakeholders in healthcare. Primarily focused on life science and payer clients, its suite of digital and mobile SaaS-based solutions enables affordability, patient adherence and care management. OptimizeRx’s network reaches more than 60% of U.S. ambulatory providers, delivering therapeutic support on specialty medications and patient financial assistance directly within a provider’s workflow through leading electronic health platforms. OptimizeRx’s fully integrated platform supports the real-time exchange of information, improving provider knowledge and patient engagement, and ultimately leading to healthier outcomes.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 Looking Statements</w:t>
      </w:r>
    </w:p>
    <w:p>
      <w:pPr>
        <w:spacing w:after="0" w:line="22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Baker, CFO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dbaker@optimizerx.com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Maira Alejandra, Media Relations Manager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(754) 245-7070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malejandra@optimizerx.com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 Both or Grant Stude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CMA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(949) 432-7557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oprx@cma.team</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r>
      <w:tr>
        <w:trPr>
          <w:trHeight w:val="414"/>
        </w:trPr>
        <w:tc>
          <w:tcPr>
            <w:tcW w:w="868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12,032,538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18,852,680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13,332,552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7,418,025</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1,867,590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871,043</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27,232,680</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27,141,748</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151,809</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176,014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14,740,031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14,740,031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assets, net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5,464,916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6,238,453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Patent rights, net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2,388,320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2,550,587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4,677,439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5,151,102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assets, net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474,906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559,863</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 and deposits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16,013</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80,727</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27,761,625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29,320,763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78"/>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55,146,114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56,638,525</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23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480,502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492,995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1,794,019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1,800,635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3,642,088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1,618,438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lease obligations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121,583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115.431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contingent purchase price payable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1,610,813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1,500,000</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461,277</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580,014</w:t>
            </w: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8,110,282</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6,107,513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obligations, net of current portion</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356,618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448,753</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purchase price payable, net of current portion</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5,220,000</w:t>
            </w: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Non-current Liabilities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356,618</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5,668,753</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8,466,900</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11,776,266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no issued and outstanding at September 30, 2020</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or December 31, 2019</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500,000,000 shares authorized, 15,072,226 and 14,600,579 shares issued and</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at September 30, 2020 and December 31, 2019, respectively</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15,072</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14,601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83,653,045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78,272,268</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(36,988,903)</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(33,424,610)</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46,679,214</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44,862,259</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55,146,114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56,638,525</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19"/>
                <w:szCs w:val="19"/>
                <w:color w:val="auto"/>
              </w:rPr>
            </w:pPr>
          </w:p>
        </w:tc>
        <w:tc>
          <w:tcPr>
            <w:tcW w:w="2420" w:type="dxa"/>
            <w:vAlign w:val="bottom"/>
            <w:gridSpan w:val="5"/>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5"/>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1"/>
                <w:szCs w:val="21"/>
                <w:color w:val="auto"/>
              </w:rPr>
            </w:pPr>
          </w:p>
        </w:tc>
        <w:tc>
          <w:tcPr>
            <w:tcW w:w="2420" w:type="dxa"/>
            <w:vAlign w:val="bottom"/>
            <w:gridSpan w:val="5"/>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59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10,519,191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5,002,767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26,887,022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17,218,492</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Pr>
          <w:p>
            <w:pPr>
              <w:spacing w:after="0"/>
              <w:rPr>
                <w:sz w:val="20"/>
                <w:szCs w:val="20"/>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4,504,844</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1,981,143</w:t>
            </w: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11,385,622</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6,251,766</w:t>
            </w:r>
          </w:p>
        </w:tc>
      </w:tr>
      <w:tr>
        <w:trPr>
          <w:trHeight w:val="216"/>
        </w:trPr>
        <w:tc>
          <w:tcPr>
            <w:tcW w:w="5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6,014,347</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3,021,624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15,501,400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10,966,726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6,191,069</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5,008,934</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18,993,187</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12,341,827</w:t>
            </w:r>
          </w:p>
        </w:tc>
      </w:tr>
      <w:tr>
        <w:trPr>
          <w:trHeight w:val="210"/>
        </w:trPr>
        <w:tc>
          <w:tcPr>
            <w:tcW w:w="59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(176,722</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(1,987,310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(3,491,787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(1,375,101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4,218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136,368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67,884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192,305</w:t>
            </w: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0" w:type="dxa"/>
            <w:vAlign w:val="bottom"/>
          </w:tcPr>
          <w:p>
            <w:pPr>
              <w:spacing w:after="0"/>
              <w:rPr>
                <w:sz w:val="20"/>
                <w:szCs w:val="20"/>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(110,390)</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280,000</w:t>
            </w:r>
          </w:p>
        </w:tc>
        <w:tc>
          <w:tcPr>
            <w:tcW w:w="12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(140,390)</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00" w:type="dxa"/>
            <w:vAlign w:val="bottom"/>
          </w:tcPr>
          <w:p>
            <w:pPr>
              <w:spacing w:after="0"/>
              <w:rPr>
                <w:sz w:val="20"/>
                <w:szCs w:val="20"/>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(106,172)</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416,368</w:t>
            </w:r>
          </w:p>
        </w:tc>
        <w:tc>
          <w:tcPr>
            <w:tcW w:w="12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(72,506)</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217,305</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0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(282,894)</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(1,570,942)</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(3,564,293)</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(1,157,796)</w:t>
            </w:r>
          </w:p>
        </w:tc>
      </w:tr>
      <w:tr>
        <w:trPr>
          <w:trHeight w:val="216"/>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20"/>
                <w:szCs w:val="20"/>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(282,894</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(1,570,942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(3,564,293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(1,157,796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AVERGE SHARES OUTSTANDING</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0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24"/>
                <w:szCs w:val="24"/>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14,900,971</w:t>
            </w:r>
          </w:p>
        </w:tc>
        <w:tc>
          <w:tcPr>
            <w:tcW w:w="20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14,146,489</w:t>
            </w:r>
          </w:p>
        </w:tc>
        <w:tc>
          <w:tcPr>
            <w:tcW w:w="120" w:type="dxa"/>
            <w:vAlign w:val="bottom"/>
          </w:tcPr>
          <w:p>
            <w:pPr>
              <w:spacing w:after="0"/>
              <w:rPr>
                <w:sz w:val="24"/>
                <w:szCs w:val="24"/>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14,726,534</w:t>
            </w:r>
          </w:p>
        </w:tc>
        <w:tc>
          <w:tcPr>
            <w:tcW w:w="200" w:type="dxa"/>
            <w:vAlign w:val="bottom"/>
          </w:tcPr>
          <w:p>
            <w:pPr>
              <w:spacing w:after="0"/>
              <w:rPr>
                <w:sz w:val="24"/>
                <w:szCs w:val="24"/>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12,996,590</w:t>
            </w:r>
          </w:p>
        </w:tc>
      </w:tr>
      <w:tr>
        <w:trPr>
          <w:trHeight w:val="223"/>
        </w:trPr>
        <w:tc>
          <w:tcPr>
            <w:tcW w:w="5980" w:type="dxa"/>
            <w:vAlign w:val="bottom"/>
            <w:tcBorders>
              <w:top w:val="single" w:sz="8" w:color="CCEEFF"/>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14,900,971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14,146,489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14,726,534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12,996,590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0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21"/>
              <w:spacing w:after="0" w:line="256" w:lineRule="exact"/>
              <w:rPr>
                <w:sz w:val="20"/>
                <w:szCs w:val="20"/>
                <w:color w:val="auto"/>
              </w:rPr>
            </w:pPr>
            <w:r>
              <w:rPr>
                <w:rFonts w:ascii="Times New Roman" w:cs="Times New Roman" w:eastAsia="Times New Roman" w:hAnsi="Times New Roman"/>
                <w:sz w:val="16"/>
                <w:szCs w:val="16"/>
                <w:color w:val="auto"/>
              </w:rPr>
              <w:t>(0.02</w:t>
            </w:r>
            <w:r>
              <w:rPr>
                <w:rFonts w:ascii="Times New Roman" w:cs="Times New Roman" w:eastAsia="Times New Roman" w:hAnsi="Times New Roman"/>
                <w:sz w:val="29"/>
                <w:szCs w:val="29"/>
                <w:color w:val="auto"/>
                <w:vertAlign w:val="superscript"/>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(0.11</w:t>
            </w:r>
            <w:r>
              <w:rPr>
                <w:rFonts w:ascii="Times New Roman" w:cs="Times New Roman" w:eastAsia="Times New Roman" w:hAnsi="Times New Roman"/>
                <w:sz w:val="29"/>
                <w:szCs w:val="29"/>
                <w:color w:val="auto"/>
                <w:vertAlign w:val="superscript"/>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(0.24</w:t>
            </w:r>
            <w:r>
              <w:rPr>
                <w:rFonts w:ascii="Times New Roman" w:cs="Times New Roman" w:eastAsia="Times New Roman" w:hAnsi="Times New Roman"/>
                <w:sz w:val="29"/>
                <w:szCs w:val="29"/>
                <w:color w:val="auto"/>
                <w:vertAlign w:val="superscript"/>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(0.09</w:t>
            </w:r>
            <w:r>
              <w:rPr>
                <w:rFonts w:ascii="Times New Roman" w:cs="Times New Roman" w:eastAsia="Times New Roman" w:hAnsi="Times New Roman"/>
                <w:sz w:val="29"/>
                <w:szCs w:val="29"/>
                <w:color w:val="auto"/>
                <w:vertAlign w:val="superscript"/>
              </w:rPr>
              <w:t>)</w:t>
            </w:r>
          </w:p>
        </w:tc>
      </w:tr>
      <w:tr>
        <w:trPr>
          <w:trHeight w:val="223"/>
        </w:trPr>
        <w:tc>
          <w:tcPr>
            <w:tcW w:w="5980" w:type="dxa"/>
            <w:vAlign w:val="bottom"/>
            <w:tcBorders>
              <w:top w:val="single" w:sz="8" w:color="CCEEFF"/>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5"/>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(3,564,293)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(1,157,796)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amortization, and non-cash lease expense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1,563,883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745,928</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2,066,609</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1,407,938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issued as board compensation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325,011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361,782</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loss on accounts receivable</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80,000</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140,390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(5,994,527)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(700,549)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(931,833)</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(469,623)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(12,493)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184,464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2,023,650</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(240,329)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704,599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(772,953)</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(118,737)</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505,279</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(3,717,781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(160,859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equipment</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(45,254)</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(61,457)</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(45,254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(1,061,457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net of commission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1,332,080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22,369,960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 related to issuance cost of common stock</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(301,711)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(4,389,187)</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(3,057,107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22,068,249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(6,820,142)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20,845,933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10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18,852,680</w:t>
            </w:r>
          </w:p>
        </w:tc>
        <w:tc>
          <w:tcPr>
            <w:tcW w:w="20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8,914,034</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12,032,538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29,759,967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Cash paid for income taxes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Intangible asset additions included in accounts payable</w:t>
            </w:r>
          </w:p>
        </w:tc>
        <w:tc>
          <w:tcPr>
            <w:tcW w:w="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Acquisition liabilities paid in common stock</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1,550,000</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Non-cash effect of cumulative adjustments to accumulated deficit</w:t>
            </w:r>
          </w:p>
        </w:tc>
        <w:tc>
          <w:tcPr>
            <w:tcW w:w="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Lease liabilities arising from right of use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672,809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to 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00" w:type="dxa"/>
            <w:vAlign w:val="bottom"/>
          </w:tcPr>
          <w:p>
            <w:pPr>
              <w:spacing w:after="0"/>
              <w:rPr>
                <w:sz w:val="18"/>
                <w:szCs w:val="18"/>
                <w:color w:val="auto"/>
              </w:rPr>
            </w:pPr>
          </w:p>
        </w:tc>
        <w:tc>
          <w:tcPr>
            <w:tcW w:w="244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0" w:type="dxa"/>
            <w:vAlign w:val="bottom"/>
          </w:tcPr>
          <w:p>
            <w:pPr>
              <w:spacing w:after="0"/>
              <w:rPr>
                <w:sz w:val="1"/>
                <w:szCs w:val="1"/>
                <w:color w:val="auto"/>
              </w:rPr>
            </w:pPr>
          </w:p>
        </w:tc>
      </w:tr>
      <w:tr>
        <w:trPr>
          <w:trHeight w:val="245"/>
        </w:trPr>
        <w:tc>
          <w:tcPr>
            <w:tcW w:w="5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1"/>
                <w:szCs w:val="21"/>
                <w:color w:val="auto"/>
              </w:rPr>
            </w:pPr>
          </w:p>
        </w:tc>
        <w:tc>
          <w:tcPr>
            <w:tcW w:w="244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18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(282,894)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(1,570,942)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(3,564,293)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amortization, and non-cash lease expense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523,420</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320,055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1,563,883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745,928</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756,437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590,244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2,391,619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1,769,720</w:t>
            </w: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Income or loss related to the fair value of contingent consideration</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110,390</w:t>
            </w:r>
          </w:p>
        </w:tc>
        <w:tc>
          <w:tcPr>
            <w:tcW w:w="200" w:type="dxa"/>
            <w:vAlign w:val="bottom"/>
          </w:tcPr>
          <w:p>
            <w:pPr>
              <w:spacing w:after="0"/>
              <w:rPr>
                <w:sz w:val="19"/>
                <w:szCs w:val="19"/>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(280,000)</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140,390</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7"/>
        </w:trPr>
        <w:tc>
          <w:tcPr>
            <w:tcW w:w="5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(loss)</w:t>
            </w:r>
          </w:p>
        </w:tc>
        <w:tc>
          <w:tcPr>
            <w:tcW w:w="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vMerge w:val="continue"/>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1,107,353</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(940,643</w:t>
            </w:r>
          </w:p>
        </w:tc>
        <w:tc>
          <w:tcPr>
            <w:tcW w:w="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531,599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1,332,852</w:t>
            </w:r>
          </w:p>
        </w:tc>
        <w:tc>
          <w:tcPr>
            <w:tcW w:w="0" w:type="dxa"/>
            <w:vAlign w:val="bottom"/>
          </w:tcPr>
          <w:p>
            <w:pPr>
              <w:spacing w:after="0"/>
              <w:rPr>
                <w:sz w:val="1"/>
                <w:szCs w:val="1"/>
                <w:color w:val="auto"/>
              </w:rPr>
            </w:pPr>
          </w:p>
        </w:tc>
      </w:tr>
      <w:tr>
        <w:trPr>
          <w:trHeight w:val="21"/>
        </w:trPr>
        <w:tc>
          <w:tcPr>
            <w:tcW w:w="5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(loss) per share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0.07</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(0.07</w:t>
            </w:r>
            <w:r>
              <w:rPr>
                <w:rFonts w:ascii="Times New Roman" w:cs="Times New Roman" w:eastAsia="Times New Roman" w:hAnsi="Times New Roman"/>
                <w:sz w:val="29"/>
                <w:szCs w:val="29"/>
                <w:color w:val="auto"/>
                <w:vertAlign w:val="super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18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14,900,971</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14,146,489</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14,726,534</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12,996,590</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15,996,241</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14,146,489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15,640,050</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13,952,330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8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2020-11-10T07:46:37Z</dcterms:created>
  <dcterms:modified xsi:type="dcterms:W3CDTF">2020-11-10T07:46:37Z</dcterms:modified>
</cp:coreProperties>
</file>