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320" w:type="dxa"/>
            <w:vAlign w:val="bottom"/>
          </w:tcPr>
          <w:p>
            <w:pPr>
              <w:spacing w:after="0"/>
              <w:rPr>
                <w:sz w:val="20"/>
                <w:szCs w:val="20"/>
                <w:color w:val="auto"/>
              </w:rPr>
            </w:pPr>
          </w:p>
        </w:tc>
      </w:tr>
      <w:tr>
        <w:trPr>
          <w:trHeight w:val="410"/>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320" w:type="dxa"/>
            <w:vAlign w:val="bottom"/>
          </w:tcPr>
          <w:p>
            <w:pPr>
              <w:spacing w:after="0"/>
              <w:rPr>
                <w:sz w:val="18"/>
                <w:szCs w:val="18"/>
                <w:color w:val="auto"/>
              </w:rPr>
            </w:pPr>
          </w:p>
        </w:tc>
      </w:tr>
      <w:tr>
        <w:trPr>
          <w:trHeight w:val="238"/>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980" w:type="dxa"/>
            <w:vAlign w:val="bottom"/>
            <w:gridSpan w:val="9"/>
          </w:tcPr>
          <w:p>
            <w:pPr>
              <w:jc w:val="center"/>
              <w:ind w:left="13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July 23, 2019</w:t>
            </w:r>
          </w:p>
        </w:tc>
        <w:tc>
          <w:tcPr>
            <w:tcW w:w="3320" w:type="dxa"/>
            <w:vAlign w:val="bottom"/>
          </w:tcPr>
          <w:p>
            <w:pPr>
              <w:spacing w:after="0"/>
              <w:rPr>
                <w:sz w:val="24"/>
                <w:szCs w:val="24"/>
                <w:color w:val="auto"/>
              </w:rPr>
            </w:pPr>
          </w:p>
        </w:tc>
      </w:tr>
      <w:tr>
        <w:trPr>
          <w:trHeight w:val="392"/>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20" w:type="dxa"/>
            <w:vAlign w:val="bottom"/>
          </w:tcPr>
          <w:p>
            <w:pPr>
              <w:spacing w:after="0"/>
              <w:rPr>
                <w:sz w:val="20"/>
                <w:szCs w:val="20"/>
                <w:color w:val="auto"/>
              </w:rPr>
            </w:pPr>
          </w:p>
        </w:tc>
      </w:tr>
      <w:tr>
        <w:trPr>
          <w:trHeight w:val="453"/>
        </w:trPr>
        <w:tc>
          <w:tcPr>
            <w:tcW w:w="31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Nevada</w:t>
            </w:r>
          </w:p>
        </w:tc>
        <w:tc>
          <w:tcPr>
            <w:tcW w:w="3500" w:type="dxa"/>
            <w:vAlign w:val="bottom"/>
            <w:gridSpan w:val="6"/>
          </w:tcPr>
          <w:p>
            <w:pPr>
              <w:jc w:val="center"/>
              <w:ind w:left="1630"/>
              <w:spacing w:after="0"/>
              <w:rPr>
                <w:sz w:val="20"/>
                <w:szCs w:val="20"/>
                <w:color w:val="auto"/>
              </w:rPr>
            </w:pPr>
            <w:r>
              <w:rPr>
                <w:rFonts w:ascii="Times New Roman" w:cs="Times New Roman" w:eastAsia="Times New Roman" w:hAnsi="Times New Roman"/>
                <w:sz w:val="18"/>
                <w:szCs w:val="18"/>
                <w:color w:val="auto"/>
                <w:w w:val="99"/>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120" w:type="dxa"/>
            <w:vAlign w:val="bottom"/>
            <w:tcBorders>
              <w:top w:val="single" w:sz="8" w:color="auto"/>
            </w:tcBorders>
          </w:tcPr>
          <w:p>
            <w:pPr>
              <w:jc w:val="center"/>
              <w:ind w:left="4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9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of incorporation)</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100" w:type="dxa"/>
            <w:vAlign w:val="bottom"/>
            <w:gridSpan w:val="10"/>
          </w:tcPr>
          <w:p>
            <w:pPr>
              <w:jc w:val="center"/>
              <w:ind w:right="248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32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6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revised financial accounting standards provided pursuant to Section 13(a) of the Exchange Act.</w:t>
            </w:r>
          </w:p>
        </w:tc>
        <w:tc>
          <w:tcPr>
            <w:tcW w:w="442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9"/>
        </w:trPr>
        <w:tc>
          <w:tcPr>
            <w:tcW w:w="46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OPRX</w:t>
            </w: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16"/>
        </w:trPr>
        <w:tc>
          <w:tcPr>
            <w:tcW w:w="3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682"/>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6"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July 23, 2019, we issued a press release announcing a new partnership and integration with NextGen Healthcare, Inc. (Nasdaq: NXGN). A copy of the press release is attached as Exhibit 99.1 to this Current Report on Form 8-K.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tabs>
          <w:tab w:leader="none" w:pos="9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July 23,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0" w:right="37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9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2019</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843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Establishes Direct Partnership and Integration with NextGen Healthcare</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More Than 55,000 Prescribers on the NextGen® Enterprise Network Will Have Immediate Access to OptimizeRx’s Point-of-Care Platform That Links the Pharma-Physician-Patient-Payor Continuum</w:t>
      </w:r>
    </w:p>
    <w:p>
      <w:pPr>
        <w:spacing w:after="0" w:line="15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ROCHESTER, Mich. – July 23, 2019 – </w:t>
      </w:r>
      <w:r>
        <w:rPr>
          <w:rFonts w:ascii="Times New Roman" w:cs="Times New Roman" w:eastAsia="Times New Roman" w:hAnsi="Times New Roman"/>
          <w:sz w:val="18"/>
          <w:szCs w:val="18"/>
          <w:color w:val="auto"/>
        </w:rPr>
        <w:t>OptimizeRx Corp. (Nasdaq: OPRX), a leading platform for digital health messaging in the pharmaceutical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a new partnership and integration with NextGen Healthcare, Inc. (Nasdaq: NXGN). Providers using NextGen® Enterprise—a full suite of comprehensive technology solutions including electronic health record (EHR), practice management (PM) and revenue cycle management (RCM) solutions —will have immediate access to OptimizeRx’s real-time cloud-based platform.</w:t>
      </w:r>
    </w:p>
    <w:p>
      <w:pPr>
        <w:spacing w:after="0" w:line="1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“Teaming up with OptimizeRx allows us to provide our clinicians real-time access to valuable pharmaceutical data and insights that promote affordability and enhance quality care. As a result, patients can better access and afford medications vital to their overall well-being,” said John S. Beck, Chief Solutions Officer and Executive Vice President, NextGen Healthcare.</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OptimizeRx platform will integrate directly into NextGen Enterprise’s EHR workflow, enabling the extensive 55,000+ prescriber network real-time access to critical information from key pharma manufacturers. Providers have access to patient savings opportunities for many prescribed medications—a particularly pertinent need of patients as a recent report by TransUnion Healthcare indicated a 12 percent increase in out-of-pocket healthcare costs in 2018. Additionally, direct EHR integration means providers can, at the point of care, deliver patient support and brand enrollment beyond the e-coupon to support adherence and care.</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“Given the financial landscape in today’s healthcare environment, it’s more critical than ever that we work together to bridge the communications gap between key stakeholders in the care journey: providers, patients and the pharma industry,” said Will Febbo, CEO at OptimizeRx. “Our partnership with NextGen Healthcare, the leading provider of ambulatory-focused technology solutions, will allow us to empower providers with critical patient savings opportunities from the pharma industry—thus empowering the patient with lowered costs and improved adherence rates. This marks a significant step in the direction towards improving quality care.”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OptimizeRx, its platform or its partners,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ind w:right="580"/>
        <w:spacing w:after="0" w:line="289" w:lineRule="auto"/>
        <w:rPr>
          <w:sz w:val="20"/>
          <w:szCs w:val="20"/>
          <w:color w:val="auto"/>
        </w:rPr>
      </w:pPr>
      <w:r>
        <w:rPr>
          <w:rFonts w:ascii="Times New Roman" w:cs="Times New Roman" w:eastAsia="Times New Roman" w:hAnsi="Times New Roman"/>
          <w:sz w:val="17"/>
          <w:szCs w:val="17"/>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 industry, OptimizeRx provides a direct channel for pharma companies to communicate with healthcare providers right within their workflow.</w:t>
      </w:r>
    </w:p>
    <w:p>
      <w:pPr>
        <w:spacing w:after="0" w:line="15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NextGen Healthcare, Inc.</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NextGen Healthcare provides a range of software, services, and analytics solutions to medical and dental group practices. The company's portfolio delivers foundational capabilities to empower physician success, enrich the patient care experience, and enable the transition to value-based healthcare.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Visit www.nextgen.com for additional information. Follow NextGen Healthcare on Facebook, Twitter, LinkedIn and Instagram.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Brooks, Innsena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(860) 800-2344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nicolebrooks@innsena.com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NextGen Healthcare Media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Priya Dua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237-5254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pdua@nextgen.com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2019-12-28T10:10:05Z</dcterms:created>
  <dcterms:modified xsi:type="dcterms:W3CDTF">2019-12-28T10:10:05Z</dcterms:modified>
</cp:coreProperties>
</file>