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21, 2012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160" w:type="dxa"/>
            <w:vAlign w:val="bottom"/>
            <w:gridSpan w:val="3"/>
          </w:tcPr>
          <w:p>
            <w:pPr>
              <w:jc w:val="center"/>
              <w:ind w:right="2530"/>
              <w:spacing w:after="0"/>
              <w:rPr>
                <w:sz w:val="20"/>
                <w:szCs w:val="20"/>
                <w:color w:val="auto"/>
              </w:rPr>
            </w:pPr>
            <w:r>
              <w:rPr>
                <w:rFonts w:ascii="Arial" w:cs="Arial" w:eastAsia="Arial" w:hAnsi="Arial"/>
                <w:sz w:val="18"/>
                <w:szCs w:val="18"/>
                <w:color w:val="auto"/>
                <w:w w:val="86"/>
              </w:rPr>
              <w:t>Nevada</w:t>
            </w:r>
          </w:p>
        </w:tc>
        <w:tc>
          <w:tcPr>
            <w:tcW w:w="2740" w:type="dxa"/>
            <w:vAlign w:val="bottom"/>
            <w:gridSpan w:val="3"/>
          </w:tcPr>
          <w:p>
            <w:pPr>
              <w:jc w:val="right"/>
              <w:ind w:right="1180"/>
              <w:spacing w:after="0"/>
              <w:rPr>
                <w:sz w:val="20"/>
                <w:szCs w:val="20"/>
                <w:color w:val="auto"/>
              </w:rPr>
            </w:pPr>
            <w:r>
              <w:rPr>
                <w:rFonts w:ascii="Arial" w:cs="Arial" w:eastAsia="Arial" w:hAnsi="Arial"/>
                <w:sz w:val="18"/>
                <w:szCs w:val="18"/>
                <w:color w:val="auto"/>
              </w:rPr>
              <w:t>000-53605</w:t>
            </w:r>
          </w:p>
        </w:tc>
        <w:tc>
          <w:tcPr>
            <w:tcW w:w="320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460" w:type="dxa"/>
            <w:vAlign w:val="bottom"/>
            <w:gridSpan w:val="4"/>
          </w:tcPr>
          <w:p>
            <w:pPr>
              <w:jc w:val="center"/>
              <w:ind w:right="1210"/>
              <w:spacing w:after="0"/>
              <w:rPr>
                <w:sz w:val="20"/>
                <w:szCs w:val="20"/>
                <w:color w:val="auto"/>
              </w:rPr>
            </w:pPr>
            <w:r>
              <w:rPr>
                <w:rFonts w:ascii="Arial" w:cs="Arial" w:eastAsia="Arial" w:hAnsi="Arial"/>
                <w:sz w:val="18"/>
                <w:szCs w:val="18"/>
                <w:color w:val="auto"/>
                <w:w w:val="92"/>
              </w:rPr>
              <w:t>(State or other jurisdiction of incorporation)</w:t>
            </w:r>
          </w:p>
        </w:tc>
        <w:tc>
          <w:tcPr>
            <w:tcW w:w="27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gridSpan w:val="5"/>
          </w:tcPr>
          <w:p>
            <w:pPr>
              <w:jc w:val="center"/>
              <w:ind w:left="51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407 Sixth Street, Rochester, MI</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48307</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60" w:type="dxa"/>
            <w:vAlign w:val="bottom"/>
            <w:gridSpan w:val="5"/>
          </w:tcPr>
          <w:p>
            <w:pPr>
              <w:jc w:val="center"/>
              <w:ind w:right="238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5"/>
          </w:tcPr>
          <w:p>
            <w:pPr>
              <w:jc w:val="center"/>
              <w:ind w:left="3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February 21, 2012, OptimizeRx Corporation (the “Company”) will make investor presentations that will include the slides furnished as Exhibit 99.1 to this Current Report on Form 8-K. The slides contained in Exhibit 99.1 are also posted on the Company’s website at www.optimizerxcorp.com.</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EE"/>
        </w:rPr>
        <w:t>Investor Relations Presentation, dated February 21, 2012</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2012</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4116705" cy="3087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OPTIMIZERx CORP.Investor Relations Presentation Q1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SAFE HARBOR : This presentation contains forward-looking statements within the definition of Section 27A of the Securities Act of 1933, as amended and such section 21E of the Securities Act of 1934, amended. These forward-looking statements should not be used to make an investment decision.The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The Pharma industry is facing growing challenges within what is a $18 Billion Annual budget for marketing via drug samples</w:t>
      </w:r>
    </w:p>
    <w:p>
      <w:pPr>
        <w:spacing w:after="0" w:line="4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1/2 of Dr’s offices no longer seeing drug salesman or samples leaving Pharma to look for new marketing channels Closed practices means more limited use of drug samples by doctors Higher Patient Costs &amp; Poorer Health Outcomes Pharmaceutical Companies Healthcare Providers Patients Traditional industry method of marketing drugs is broken and not aligned to physicians’ needs.$300 Billion annual market for Drug manufacturers Up to 40% now ban or limit drug reps &amp; samples50% of care providers do not know how to help patients with escalating co-pays Patients struggling and resisting escalating drug co-pays.1 in 5 patients walk away without filling Rx when they experience a “co-pay surprise”</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Drug sales rep cost effectiveness, true physician interactions are declining. Hand written prescriptions are also all declining</w:t>
      </w:r>
    </w:p>
    <w:p>
      <w:pPr>
        <w:spacing w:after="0" w:line="2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240" w:top="1440" w:right="9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ays to leverage growing technology The Facts at the end of 2010, approximately one in four prescriptions were delivered electronically, up from one in 18 prescriptions at the end of 2008.</w:t>
      </w:r>
    </w:p>
    <w:p>
      <w:pPr>
        <w:spacing w:after="0" w:line="19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240" w:top="1440" w:right="11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SampleMD is now providing drug manufacturers a direct electronic path to reach Doctors &amp; Patients Doctors can instantly print or e-Send Sample Vouchers &amp; Co-Pay ecoupons right from their computers Research shows that the Patient will have more affordable access &amp; adherence to Drug brands given the ability to get samples or ecoupons SampleMD Physician Desktop Application to Search, Review and Distribute Patient Savings &amp; Support Helps care providers start and keep more patients on therapy longer</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SampleMD’s integration within 180 EHRs over the course of 2012, will reach 200,000+ Health Providers in 2012 right at point of ePrescribing! reviews brands available patient support offers &amp; education Doctor searches drug for correct drug to ePrescribe Selected eVoucher or Co-Pay is auto printed for patient &amp; option to set up eNotification within eRx to pharmacist</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SampleMD now promotes esample vouchers , and ecoupon’s for patient support right within the physicians workflow at the point of care Doctors Search, Select, Print or eSend your available sample or co-pay offer right from your computer. Patients are re-engaged to promote first fill &amp; redemption (as well as can entoll into your CRM program) Patient redeems voucher or co-pay savings at the pharmacy All redemptions and savings are tracked and reported</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4116705" cy="3087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SampleMD is partnering with the largest ‘ePrescribing’ and electronic healthcare record (EHR) software platforms to reach more targeted care providers who are active electronic prescribers Allscripts has 70,000 active Physicians ePrescribe users More Doctors are prescribing medicines online, wsj, april 20, 2010 allscripts, april 2010 Allscripts forecast: 125 million scripts will be processed over the next 12 months.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4116705" cy="308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SampleMD also provides each drug manufacturer with key feedback via analytical data from a dashboard. This provides them data on exactly how many of their evouchers or ecoupons were issued and or redeemed. Which in turn provides an instant ROI analysis for their marketing budget investments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4116705" cy="3087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SampleMD™ creates measurable benefits to all key stakeholders….Doctors now have an easier, streamlined way to review patient</w:t>
      </w:r>
    </w:p>
    <w:p>
      <w:pPr>
        <w:spacing w:after="0" w:line="43" w:lineRule="exact"/>
        <w:rPr>
          <w:sz w:val="20"/>
          <w:szCs w:val="20"/>
          <w:color w:val="auto"/>
        </w:rPr>
      </w:pPr>
    </w:p>
    <w:p>
      <w:pPr>
        <w:jc w:val="both"/>
        <w:ind w:right="480"/>
        <w:spacing w:after="0" w:line="287" w:lineRule="auto"/>
        <w:rPr>
          <w:sz w:val="20"/>
          <w:szCs w:val="20"/>
          <w:color w:val="auto"/>
        </w:rPr>
      </w:pPr>
      <w:r>
        <w:rPr>
          <w:rFonts w:ascii="Arial" w:cs="Arial" w:eastAsia="Arial" w:hAnsi="Arial"/>
          <w:sz w:val="19"/>
          <w:szCs w:val="19"/>
          <w:color w:val="auto"/>
        </w:rPr>
        <w:t>Support right at point of eRx selection (within EHR) Patients receive savings to increase likelihood of actual Filling the RX. Pharmacist is paid to fill the sample Manufacturer and Reps benefit from increased sales , capturing of real time data, and the reduced costs of printing and promoting the program to those doctors wanting to more efficiently use vouchers &amp; coupons!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431800</wp:posOffset>
            </wp:positionV>
            <wp:extent cx="4116705" cy="308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Some of the Drug Manufacturers utilizing SampleMD:</w:t>
      </w: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4116705" cy="308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SampleMD Platform is also being marketed directly to leading closed health care systems, which are large private practices who do not allow drug salesman in their offices. Exclusive way to promoate &amp; distribute vouchers to thousands of physicians and their patients SampleMD sits within EMR and on desktops Allows search by product, condition or class Tracks all searches, print and redemptions by health system, state and zip code 2000+ physicians, Atlanta 4750 physicians, New Jersey 350 physicians, New York 650 physicians, Roanoke, VA 3000 physicians, Illinois 2200 physicians, MI 800 physicians, New Orleans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4116705" cy="3087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SampleMD Revenue Metrics SampleMD revenue is paid to the company by the drug manufacturer who’s ecoupon or esample was issued to the patient by the SampleMD software SampleMD charges the drug manufacturer $25,000 for each drug added to the system for one time set up and programming. SampleMD is paid an average of $5.00 for every ecoupon generated by the software or $25.00 per sample voucher redemption SampleMD keeps all of the revenue for esamples &amp; ecoupons issued to their direct closed practice subscribers. SampleMD pays an average of 40% of their gross revenue to certain vertical software partners such as Allscripts Inc. and other HER or eprescribe software partners. (40% partner pay out = $2.00 per ecoupon, and $10.00 for each esample redeemed.) For accounting purposes the company will book all the revenue and expense the payout to partners. Payments will average monthly to quarterly depending on the rate the drug sample or coupon inventory is issued. The key metric is that currently SampleMD patients are redeeming one in every five esample vouchers issued. This rate of redemption is far above most other coupon issuance programs used by manufacturers, and it is also helping attract the manufacturers to SampleMD and it is helping generate more revenue per user.</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4116705" cy="3087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CONCLUSIONS &amp; SUMMARY The rapid rate of increasing eprescriptions is a primary driver for the SampleMD model. Electronic prescription use will grow by 650% by 2016 and the ability to have a sustainable brand for sample management and direct marketing in this space is potentially invaluable.SampleMD is currently inventorying over sixty five drug sample or coupon offers. It is expected that the drug offerings will continue to increase through the 2012 and they will trend towards 100 concurrent offers at all times in late 2012.Through several licenses the company has gained access to over 200,000 new care providers. Allscripts( NASDAQ: MDRX), has also agreed to expand the use of SampleMD within their eprescribe application in 2012, which is a key factor, as they are an industry leader.The company’s business model is highly leveraged as adoption and utilization of the software could enable very high volumes of incremental revenue to accrete as tens of thousands of care providers start to utilize &amp; realize the breadth of drug offers available to help patients. The growing offerings of drug coupons and samples along with the the ease of use could make this a very sticky or habit forming application.The company operates at a modest monthly overhead and is expected to incur approximately $2,500,000 in total cash based operating expenses in 2012. Q4 2011 was roughly break even on an operational basis, and each ensuing quarter in 2012 is expected to bring improved fiscal performance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2019-12-09T19:23:03Z</dcterms:created>
  <dcterms:modified xsi:type="dcterms:W3CDTF">2019-12-09T19:23:03Z</dcterms:modified>
</cp:coreProperties>
</file>