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920" w:type="dxa"/>
            <w:vAlign w:val="bottom"/>
            <w:gridSpan w:val="9"/>
          </w:tcPr>
          <w:p>
            <w:pPr>
              <w:jc w:val="center"/>
              <w:ind w:left="70"/>
              <w:spacing w:after="0"/>
              <w:rPr>
                <w:sz w:val="20"/>
                <w:szCs w:val="20"/>
                <w:color w:val="auto"/>
              </w:rPr>
            </w:pPr>
            <w:r>
              <w:rPr>
                <w:rFonts w:ascii="Arial" w:cs="Arial" w:eastAsia="Arial" w:hAnsi="Arial"/>
                <w:sz w:val="18"/>
                <w:szCs w:val="18"/>
                <w:color w:val="auto"/>
                <w:w w:val="91"/>
              </w:rPr>
              <w:t>Date of Report (Date of earliest event reported): May 27, 2016</w:t>
            </w:r>
          </w:p>
        </w:tc>
        <w:tc>
          <w:tcPr>
            <w:tcW w:w="332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0"/>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4"/>
              </w:rPr>
              <w:t>incorporation)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27, 2016, we settled an action pending in the United States District Court in the Eastern District of Michigan involving our former officer and director, Shadron Stastney. This settles an action that was initiated in the fourth quarter of 2014. For a complete release of claims and dismissal of the action, we agreed to pay Mr. Stastney $50,000 and to issue him 100,000 shares of our common stock. We further agreed to register 133,333 of his existing shares with the Securities and Exchange Commission on Form S-1 by June 30, 2016.</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2016</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00"/>
      </w:cols>
      <w:pgMar w:left="240" w:top="79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2019-12-08T18:24:10Z</dcterms:created>
  <dcterms:modified xsi:type="dcterms:W3CDTF">2019-12-08T18:24:10Z</dcterms:modified>
</cp:coreProperties>
</file>