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3920" w:right="2320" w:hanging="1592"/>
        <w:spacing w:after="0" w:line="481" w:lineRule="auto"/>
        <w:tabs>
          <w:tab w:leader="none" w:pos="254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March 31, 2021</w:t>
      </w:r>
    </w:p>
    <w:p>
      <w:pPr>
        <w:spacing w:after="0" w:line="34" w:lineRule="exact"/>
        <w:rPr>
          <w:rFonts w:ascii="MS PGothic" w:cs="MS PGothic" w:eastAsia="MS PGothic" w:hAnsi="MS PGothic"/>
          <w:sz w:val="18"/>
          <w:szCs w:val="18"/>
          <w:color w:val="auto"/>
        </w:rPr>
      </w:pPr>
    </w:p>
    <w:p>
      <w:pPr>
        <w:ind w:left="3500" w:right="2580" w:hanging="902"/>
        <w:spacing w:after="0" w:line="527" w:lineRule="auto"/>
        <w:tabs>
          <w:tab w:leader="none" w:pos="2810" w:val="left"/>
        </w:tabs>
        <w:numPr>
          <w:ilvl w:val="1"/>
          <w:numId w:val="1"/>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13 or 15(d) of the Securities Exchange Act of 1934 For the transition period from __________ to __________</w:t>
      </w:r>
    </w:p>
    <w:tbl>
      <w:tblPr>
        <w:tblLayout w:type="fixed"/>
        <w:tblInd w:w="0" w:type="dxa"/>
        <w:tblCellMar>
          <w:top w:w="0" w:type="dxa"/>
          <w:left w:w="0" w:type="dxa"/>
          <w:bottom w:w="0" w:type="dxa"/>
          <w:right w:w="0" w:type="dxa"/>
        </w:tblCellMar>
      </w:tblPr>
      <w:tr>
        <w:trPr>
          <w:trHeight w:val="195"/>
        </w:trPr>
        <w:tc>
          <w:tcPr>
            <w:tcW w:w="7660" w:type="dxa"/>
            <w:vAlign w:val="bottom"/>
            <w:gridSpan w:val="11"/>
          </w:tcPr>
          <w:p>
            <w:pPr>
              <w:jc w:val="center"/>
              <w:ind w:left="3510"/>
              <w:spacing w:after="0" w:line="195" w:lineRule="exact"/>
              <w:rPr>
                <w:sz w:val="20"/>
                <w:szCs w:val="20"/>
                <w:color w:val="auto"/>
              </w:rPr>
            </w:pPr>
            <w:r>
              <w:rPr>
                <w:rFonts w:ascii="Arial" w:cs="Arial" w:eastAsia="Arial" w:hAnsi="Arial"/>
                <w:sz w:val="18"/>
                <w:szCs w:val="18"/>
                <w:color w:val="auto"/>
                <w:w w:val="91"/>
              </w:rPr>
              <w:t xml:space="preserve">Commission File Number: </w:t>
            </w:r>
            <w:r>
              <w:rPr>
                <w:rFonts w:ascii="Arial" w:cs="Arial" w:eastAsia="Arial" w:hAnsi="Arial"/>
                <w:sz w:val="18"/>
                <w:szCs w:val="18"/>
                <w:b w:val="1"/>
                <w:bCs w:val="1"/>
                <w:color w:val="auto"/>
                <w:w w:val="91"/>
              </w:rPr>
              <w:t>001-38543</w:t>
            </w:r>
          </w:p>
        </w:tc>
        <w:tc>
          <w:tcPr>
            <w:tcW w:w="3580" w:type="dxa"/>
            <w:vAlign w:val="bottom"/>
          </w:tcPr>
          <w:p>
            <w:pPr>
              <w:spacing w:after="0"/>
              <w:rPr>
                <w:sz w:val="16"/>
                <w:szCs w:val="16"/>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412"/>
        </w:trPr>
        <w:tc>
          <w:tcPr>
            <w:tcW w:w="4660" w:type="dxa"/>
            <w:vAlign w:val="bottom"/>
          </w:tcPr>
          <w:p>
            <w:pPr>
              <w:spacing w:after="0"/>
              <w:rPr>
                <w:sz w:val="24"/>
                <w:szCs w:val="24"/>
                <w:color w:val="auto"/>
              </w:rPr>
            </w:pPr>
          </w:p>
        </w:tc>
        <w:tc>
          <w:tcPr>
            <w:tcW w:w="194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3"/>
              </w:rPr>
              <w:t>OptimizeRx Corporation</w:t>
            </w:r>
          </w:p>
        </w:tc>
        <w:tc>
          <w:tcPr>
            <w:tcW w:w="1060" w:type="dxa"/>
            <w:vAlign w:val="bottom"/>
            <w:gridSpan w:val="2"/>
          </w:tcPr>
          <w:p>
            <w:pPr>
              <w:spacing w:after="0"/>
              <w:rPr>
                <w:sz w:val="24"/>
                <w:szCs w:val="24"/>
                <w:color w:val="auto"/>
              </w:rPr>
            </w:pPr>
          </w:p>
        </w:tc>
        <w:tc>
          <w:tcPr>
            <w:tcW w:w="3580" w:type="dxa"/>
            <w:vAlign w:val="bottom"/>
          </w:tcPr>
          <w:p>
            <w:pPr>
              <w:spacing w:after="0"/>
              <w:rPr>
                <w:sz w:val="24"/>
                <w:szCs w:val="24"/>
                <w:color w:val="auto"/>
              </w:rPr>
            </w:pPr>
          </w:p>
        </w:tc>
      </w:tr>
      <w:tr>
        <w:trPr>
          <w:trHeight w:val="237"/>
        </w:trPr>
        <w:tc>
          <w:tcPr>
            <w:tcW w:w="7660" w:type="dxa"/>
            <w:vAlign w:val="bottom"/>
            <w:gridSpan w:val="11"/>
          </w:tcPr>
          <w:p>
            <w:pPr>
              <w:jc w:val="center"/>
              <w:ind w:left="3490"/>
              <w:spacing w:after="0"/>
              <w:rPr>
                <w:sz w:val="20"/>
                <w:szCs w:val="20"/>
                <w:color w:val="auto"/>
              </w:rPr>
            </w:pPr>
            <w:r>
              <w:rPr>
                <w:rFonts w:ascii="Arial" w:cs="Arial" w:eastAsia="Arial" w:hAnsi="Arial"/>
                <w:sz w:val="18"/>
                <w:szCs w:val="18"/>
                <w:color w:val="auto"/>
                <w:w w:val="90"/>
              </w:rPr>
              <w:t>(Exact name of registrant as specified in its charter)</w:t>
            </w:r>
          </w:p>
        </w:tc>
        <w:tc>
          <w:tcPr>
            <w:tcW w:w="3580" w:type="dxa"/>
            <w:vAlign w:val="bottom"/>
          </w:tcPr>
          <w:p>
            <w:pPr>
              <w:spacing w:after="0"/>
              <w:rPr>
                <w:sz w:val="20"/>
                <w:szCs w:val="20"/>
                <w:color w:val="auto"/>
              </w:rPr>
            </w:pPr>
          </w:p>
        </w:tc>
      </w:tr>
      <w:tr>
        <w:trPr>
          <w:trHeight w:val="439"/>
        </w:trPr>
        <w:tc>
          <w:tcPr>
            <w:tcW w:w="7660" w:type="dxa"/>
            <w:vAlign w:val="bottom"/>
            <w:gridSpan w:val="11"/>
          </w:tcPr>
          <w:p>
            <w:pPr>
              <w:jc w:val="center"/>
              <w:ind w:right="2120"/>
              <w:spacing w:after="0"/>
              <w:rPr>
                <w:sz w:val="20"/>
                <w:szCs w:val="20"/>
                <w:color w:val="auto"/>
              </w:rPr>
            </w:pPr>
            <w:r>
              <w:rPr>
                <w:rFonts w:ascii="Arial" w:cs="Arial" w:eastAsia="Arial" w:hAnsi="Arial"/>
                <w:sz w:val="18"/>
                <w:szCs w:val="18"/>
                <w:b w:val="1"/>
                <w:bCs w:val="1"/>
                <w:color w:val="auto"/>
                <w:w w:val="90"/>
              </w:rPr>
              <w:t>Nevada</w:t>
            </w:r>
          </w:p>
        </w:tc>
        <w:tc>
          <w:tcPr>
            <w:tcW w:w="3580" w:type="dxa"/>
            <w:vAlign w:val="bottom"/>
          </w:tcPr>
          <w:p>
            <w:pPr>
              <w:jc w:val="center"/>
              <w:ind w:right="1830"/>
              <w:spacing w:after="0"/>
              <w:rPr>
                <w:sz w:val="20"/>
                <w:szCs w:val="20"/>
                <w:color w:val="auto"/>
              </w:rPr>
            </w:pPr>
            <w:r>
              <w:rPr>
                <w:rFonts w:ascii="Arial" w:cs="Arial" w:eastAsia="Arial" w:hAnsi="Arial"/>
                <w:sz w:val="18"/>
                <w:szCs w:val="18"/>
                <w:b w:val="1"/>
                <w:bCs w:val="1"/>
                <w:color w:val="auto"/>
                <w:w w:val="89"/>
              </w:rPr>
              <w:t>26-1265381</w:t>
            </w:r>
          </w:p>
        </w:tc>
      </w:tr>
      <w:tr>
        <w:trPr>
          <w:trHeight w:val="202"/>
        </w:trPr>
        <w:tc>
          <w:tcPr>
            <w:tcW w:w="5520" w:type="dxa"/>
            <w:vAlign w:val="bottom"/>
            <w:tcBorders>
              <w:top w:val="single" w:sz="8" w:color="auto"/>
            </w:tcBorders>
            <w:gridSpan w:val="4"/>
          </w:tcPr>
          <w:p>
            <w:pPr>
              <w:jc w:val="center"/>
              <w:ind w:right="40"/>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jc w:val="center"/>
              <w:ind w:right="18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660" w:type="dxa"/>
            <w:vAlign w:val="bottom"/>
            <w:gridSpan w:val="11"/>
          </w:tcPr>
          <w:p>
            <w:pPr>
              <w:jc w:val="center"/>
              <w:ind w:right="2140"/>
              <w:spacing w:after="0"/>
              <w:rPr>
                <w:sz w:val="20"/>
                <w:szCs w:val="20"/>
                <w:color w:val="auto"/>
              </w:rPr>
            </w:pPr>
            <w:r>
              <w:rPr>
                <w:rFonts w:ascii="Arial" w:cs="Arial" w:eastAsia="Arial" w:hAnsi="Arial"/>
                <w:sz w:val="18"/>
                <w:szCs w:val="18"/>
                <w:color w:val="auto"/>
                <w:w w:val="92"/>
              </w:rPr>
              <w:t>incorporation or organization)</w:t>
            </w:r>
          </w:p>
        </w:tc>
        <w:tc>
          <w:tcPr>
            <w:tcW w:w="3580" w:type="dxa"/>
            <w:vAlign w:val="bottom"/>
          </w:tcPr>
          <w:p>
            <w:pPr>
              <w:jc w:val="center"/>
              <w:ind w:right="18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660" w:type="dxa"/>
            <w:vAlign w:val="bottom"/>
            <w:gridSpan w:val="11"/>
          </w:tcPr>
          <w:p>
            <w:pPr>
              <w:jc w:val="center"/>
              <w:ind w:left="3490"/>
              <w:spacing w:after="0"/>
              <w:rPr>
                <w:sz w:val="20"/>
                <w:szCs w:val="20"/>
                <w:color w:val="auto"/>
              </w:rPr>
            </w:pPr>
            <w:r>
              <w:rPr>
                <w:rFonts w:ascii="Arial" w:cs="Arial" w:eastAsia="Arial" w:hAnsi="Arial"/>
                <w:sz w:val="18"/>
                <w:szCs w:val="18"/>
                <w:b w:val="1"/>
                <w:bCs w:val="1"/>
                <w:color w:val="auto"/>
                <w:w w:val="90"/>
              </w:rPr>
              <w:t>400 Water Street, Suite 200</w:t>
            </w:r>
          </w:p>
        </w:tc>
        <w:tc>
          <w:tcPr>
            <w:tcW w:w="3580" w:type="dxa"/>
            <w:vAlign w:val="bottom"/>
          </w:tcPr>
          <w:p>
            <w:pPr>
              <w:spacing w:after="0"/>
              <w:rPr>
                <w:sz w:val="24"/>
                <w:szCs w:val="24"/>
                <w:color w:val="auto"/>
              </w:rPr>
            </w:pPr>
          </w:p>
        </w:tc>
      </w:tr>
      <w:tr>
        <w:trPr>
          <w:trHeight w:val="194"/>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Borders>
              <w:bottom w:val="single" w:sz="8" w:color="auto"/>
            </w:tcBorders>
            <w:gridSpan w:val="6"/>
          </w:tcPr>
          <w:p>
            <w:pPr>
              <w:jc w:val="center"/>
              <w:spacing w:after="0" w:line="194" w:lineRule="exact"/>
              <w:rPr>
                <w:sz w:val="20"/>
                <w:szCs w:val="20"/>
                <w:color w:val="auto"/>
              </w:rPr>
            </w:pPr>
            <w:r>
              <w:rPr>
                <w:rFonts w:ascii="Arial" w:cs="Arial" w:eastAsia="Arial" w:hAnsi="Arial"/>
                <w:sz w:val="18"/>
                <w:szCs w:val="18"/>
                <w:b w:val="1"/>
                <w:bCs w:val="1"/>
                <w:color w:val="auto"/>
                <w:w w:val="90"/>
              </w:rPr>
              <w:t>Rochester, MI, 48307</w:t>
            </w:r>
          </w:p>
        </w:tc>
        <w:tc>
          <w:tcPr>
            <w:tcW w:w="1220" w:type="dxa"/>
            <w:vAlign w:val="bottom"/>
            <w:gridSpan w:val="3"/>
          </w:tcPr>
          <w:p>
            <w:pPr>
              <w:spacing w:after="0"/>
              <w:rPr>
                <w:sz w:val="16"/>
                <w:szCs w:val="16"/>
                <w:color w:val="auto"/>
              </w:rPr>
            </w:pPr>
          </w:p>
        </w:tc>
        <w:tc>
          <w:tcPr>
            <w:tcW w:w="3580" w:type="dxa"/>
            <w:vAlign w:val="bottom"/>
          </w:tcPr>
          <w:p>
            <w:pPr>
              <w:spacing w:after="0"/>
              <w:rPr>
                <w:sz w:val="16"/>
                <w:szCs w:val="16"/>
                <w:color w:val="auto"/>
              </w:rPr>
            </w:pPr>
          </w:p>
        </w:tc>
      </w:tr>
      <w:tr>
        <w:trPr>
          <w:trHeight w:val="237"/>
        </w:trPr>
        <w:tc>
          <w:tcPr>
            <w:tcW w:w="7660" w:type="dxa"/>
            <w:vAlign w:val="bottom"/>
            <w:gridSpan w:val="11"/>
          </w:tcPr>
          <w:p>
            <w:pPr>
              <w:jc w:val="center"/>
              <w:ind w:left="3510"/>
              <w:spacing w:after="0"/>
              <w:rPr>
                <w:sz w:val="20"/>
                <w:szCs w:val="20"/>
                <w:color w:val="auto"/>
              </w:rPr>
            </w:pPr>
            <w:r>
              <w:rPr>
                <w:rFonts w:ascii="Arial" w:cs="Arial" w:eastAsia="Arial" w:hAnsi="Arial"/>
                <w:sz w:val="18"/>
                <w:szCs w:val="18"/>
                <w:color w:val="auto"/>
                <w:w w:val="92"/>
              </w:rPr>
              <w:t>(Address of principal executive offices)</w:t>
            </w:r>
          </w:p>
        </w:tc>
        <w:tc>
          <w:tcPr>
            <w:tcW w:w="3580" w:type="dxa"/>
            <w:vAlign w:val="bottom"/>
          </w:tcPr>
          <w:p>
            <w:pPr>
              <w:spacing w:after="0"/>
              <w:rPr>
                <w:sz w:val="20"/>
                <w:szCs w:val="20"/>
                <w:color w:val="auto"/>
              </w:rPr>
            </w:pPr>
          </w:p>
        </w:tc>
      </w:tr>
      <w:tr>
        <w:trPr>
          <w:trHeight w:val="392"/>
        </w:trPr>
        <w:tc>
          <w:tcPr>
            <w:tcW w:w="6140" w:type="dxa"/>
            <w:vAlign w:val="bottom"/>
            <w:gridSpan w:val="6"/>
          </w:tcPr>
          <w:p>
            <w:pPr>
              <w:jc w:val="center"/>
              <w:ind w:left="5030"/>
              <w:spacing w:after="0"/>
              <w:rPr>
                <w:sz w:val="20"/>
                <w:szCs w:val="20"/>
                <w:color w:val="auto"/>
              </w:rPr>
            </w:pPr>
            <w:r>
              <w:rPr>
                <w:rFonts w:ascii="Arial" w:cs="Arial" w:eastAsia="Arial" w:hAnsi="Arial"/>
                <w:sz w:val="18"/>
                <w:szCs w:val="18"/>
                <w:b w:val="1"/>
                <w:bCs w:val="1"/>
                <w:color w:val="auto"/>
                <w:w w:val="90"/>
              </w:rPr>
              <w:t>248-651-6568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0"/>
        </w:trPr>
        <w:tc>
          <w:tcPr>
            <w:tcW w:w="5120" w:type="dxa"/>
            <w:vAlign w:val="bottom"/>
            <w:gridSpan w:val="3"/>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236"/>
        </w:trPr>
        <w:tc>
          <w:tcPr>
            <w:tcW w:w="7660" w:type="dxa"/>
            <w:vAlign w:val="bottom"/>
            <w:gridSpan w:val="11"/>
          </w:tcPr>
          <w:p>
            <w:pPr>
              <w:jc w:val="center"/>
              <w:ind w:left="3490"/>
              <w:spacing w:after="0"/>
              <w:rPr>
                <w:sz w:val="20"/>
                <w:szCs w:val="20"/>
                <w:color w:val="auto"/>
              </w:rPr>
            </w:pPr>
            <w:r>
              <w:rPr>
                <w:rFonts w:ascii="Arial" w:cs="Arial" w:eastAsia="Arial" w:hAnsi="Arial"/>
                <w:sz w:val="18"/>
                <w:szCs w:val="18"/>
                <w:color w:val="auto"/>
                <w:w w:val="90"/>
              </w:rPr>
              <w:t>(Registrant’s telephone number)</w:t>
            </w:r>
          </w:p>
        </w:tc>
        <w:tc>
          <w:tcPr>
            <w:tcW w:w="358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w:t>
      </w:r>
    </w:p>
    <w:p>
      <w:pPr>
        <w:sectPr>
          <w:pgSz w:w="11900" w:h="16838" w:orient="portrait"/>
          <w:cols w:equalWidth="0" w:num="1">
            <w:col w:w="11240"/>
          </w:cols>
          <w:pgMar w:left="320" w:top="517" w:right="339" w:bottom="1440" w:gutter="0" w:footer="0" w:header="0"/>
        </w:sectPr>
      </w:pPr>
    </w:p>
    <w:p>
      <w:pPr>
        <w:spacing w:after="0" w:line="138" w:lineRule="exact"/>
        <w:rPr>
          <w:sz w:val="24"/>
          <w:szCs w:val="24"/>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ind w:left="6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3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0" w:lineRule="exact"/>
        <w:rPr>
          <w:sz w:val="24"/>
          <w:szCs w:val="24"/>
          <w:color w:val="auto"/>
        </w:rPr>
      </w:pPr>
    </w:p>
    <w:p>
      <w:pPr>
        <w:sectPr>
          <w:pgSz w:w="11900" w:h="16838" w:orient="portrait"/>
          <w:cols w:equalWidth="0" w:num="2">
            <w:col w:w="6260" w:space="720"/>
            <w:col w:w="4260"/>
          </w:cols>
          <w:pgMar w:left="320" w:top="517" w:right="339" w:bottom="1440" w:gutter="0" w:footer="0" w:header="0"/>
          <w:type w:val="continuous"/>
        </w:sectPr>
      </w:pPr>
    </w:p>
    <w:p>
      <w:pPr>
        <w:spacing w:after="0" w:line="3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17,280,252 common shares as of May 3, 2021.</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840" w:type="dxa"/>
            <w:vAlign w:val="bottom"/>
            <w:tcBorders>
              <w:top w:val="single" w:sz="8" w:color="auto"/>
            </w:tcBorders>
          </w:tcPr>
          <w:p>
            <w:pPr>
              <w:jc w:val="center"/>
              <w:ind w:right="670"/>
              <w:spacing w:after="0"/>
              <w:rPr>
                <w:sz w:val="20"/>
                <w:szCs w:val="20"/>
                <w:color w:val="auto"/>
              </w:rPr>
            </w:pPr>
            <w:r>
              <w:rPr>
                <w:rFonts w:ascii="Arial" w:cs="Arial" w:eastAsia="Arial" w:hAnsi="Arial"/>
                <w:sz w:val="18"/>
                <w:szCs w:val="18"/>
                <w:color w:val="auto"/>
                <w:w w:val="93"/>
              </w:rPr>
              <w:t>OPRX</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02"/>
        </w:trPr>
        <w:tc>
          <w:tcPr>
            <w:tcW w:w="3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82"/>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7" w:right="3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680" w:type="dxa"/>
            <w:vAlign w:val="bottom"/>
            <w:gridSpan w:val="5"/>
          </w:tcPr>
          <w:p>
            <w:pPr>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17"/>
                <w:szCs w:val="17"/>
                <w:color w:val="auto"/>
              </w:rPr>
            </w:pPr>
          </w:p>
        </w:tc>
      </w:tr>
      <w:tr>
        <w:trPr>
          <w:trHeight w:val="460"/>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Page</w:t>
            </w:r>
          </w:p>
        </w:tc>
      </w:tr>
      <w:tr>
        <w:trPr>
          <w:trHeight w:val="432"/>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60" w:type="dxa"/>
            <w:vAlign w:val="bottom"/>
            <w:gridSpan w:val="6"/>
          </w:tcPr>
          <w:p>
            <w:pPr>
              <w:ind w:left="520"/>
              <w:spacing w:after="0"/>
              <w:rPr>
                <w:sz w:val="20"/>
                <w:szCs w:val="20"/>
                <w:color w:val="auto"/>
              </w:rPr>
            </w:pPr>
            <w:r>
              <w:rPr>
                <w:rFonts w:ascii="Arial" w:cs="Arial" w:eastAsia="Arial" w:hAnsi="Arial"/>
                <w:sz w:val="18"/>
                <w:szCs w:val="18"/>
                <w:b w:val="1"/>
                <w:bCs w:val="1"/>
                <w:color w:val="auto"/>
              </w:rPr>
              <w:t>PART I – FINANCIAL INFORMATION</w:t>
            </w:r>
          </w:p>
        </w:tc>
        <w:tc>
          <w:tcPr>
            <w:tcW w:w="660" w:type="dxa"/>
            <w:vAlign w:val="bottom"/>
          </w:tcPr>
          <w:p>
            <w:pPr>
              <w:spacing w:after="0"/>
              <w:rPr>
                <w:sz w:val="24"/>
                <w:szCs w:val="24"/>
                <w:color w:val="auto"/>
              </w:rPr>
            </w:pPr>
          </w:p>
        </w:tc>
      </w:tr>
      <w:tr>
        <w:trPr>
          <w:trHeight w:val="39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44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10</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Quantitative and Qualitative Disclosures About Market Risk</w:t>
              </w:r>
            </w:hyperlink>
          </w:p>
        </w:tc>
        <w:tc>
          <w:tcPr>
            <w:tcW w:w="5080" w:type="dxa"/>
            <w:vAlign w:val="bottom"/>
            <w:gridSpan w:val="3"/>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14</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Controls and Procedures</w:t>
              </w:r>
            </w:hyperlink>
          </w:p>
        </w:tc>
        <w:tc>
          <w:tcPr>
            <w:tcW w:w="7660" w:type="dxa"/>
            <w:vAlign w:val="bottom"/>
            <w:gridSpan w:val="7"/>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15</w:t>
            </w: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Legal Proceedings</w:t>
              </w:r>
            </w:hyperlink>
          </w:p>
        </w:tc>
        <w:tc>
          <w:tcPr>
            <w:tcW w:w="8100" w:type="dxa"/>
            <w:vAlign w:val="bottom"/>
            <w:gridSpan w:val="9"/>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440" w:type="dxa"/>
            <w:vAlign w:val="bottom"/>
            <w:gridSpan w:val="1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16</w:t>
            </w: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440" w:type="dxa"/>
            <w:vAlign w:val="bottom"/>
            <w:gridSpan w:val="1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Unregistered Sales of Equity Securities and Use of Proceeds</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16</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Defaults Upon Senior Securities</w:t>
              </w:r>
            </w:hyperlink>
          </w:p>
        </w:tc>
        <w:tc>
          <w:tcPr>
            <w:tcW w:w="5100" w:type="dxa"/>
            <w:vAlign w:val="bottom"/>
            <w:gridSpan w:val="4"/>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16</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23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Mine Safety Disclosure</w:t>
              </w:r>
            </w:hyperlink>
          </w:p>
        </w:tc>
        <w:tc>
          <w:tcPr>
            <w:tcW w:w="7060" w:type="dxa"/>
            <w:vAlign w:val="bottom"/>
            <w:gridSpan w:val="6"/>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16</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Other Information</w:t>
              </w:r>
            </w:hyperlink>
          </w:p>
        </w:tc>
        <w:tc>
          <w:tcPr>
            <w:tcW w:w="380" w:type="dxa"/>
            <w:vAlign w:val="bottom"/>
            <w:tcBorders>
              <w:top w:val="single" w:sz="8" w:color="0000EE"/>
            </w:tcBorders>
            <w:gridSpan w:val="2"/>
          </w:tcPr>
          <w:p>
            <w:pPr>
              <w:spacing w:after="0"/>
              <w:rPr>
                <w:sz w:val="17"/>
                <w:szCs w:val="17"/>
                <w:color w:val="auto"/>
              </w:rPr>
            </w:pPr>
          </w:p>
        </w:tc>
        <w:tc>
          <w:tcPr>
            <w:tcW w:w="7740" w:type="dxa"/>
            <w:vAlign w:val="bottom"/>
            <w:gridSpan w:val="8"/>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16</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440" w:type="dxa"/>
            <w:vAlign w:val="bottom"/>
            <w:gridSpan w:val="1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16</w:t>
            </w: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380" w:type="dxa"/>
            <w:vAlign w:val="bottom"/>
            <w:gridSpan w:val="6"/>
          </w:tcPr>
          <w:p>
            <w:pPr>
              <w:ind w:left="4060"/>
              <w:spacing w:after="0"/>
              <w:rPr>
                <w:sz w:val="20"/>
                <w:szCs w:val="20"/>
                <w:color w:val="auto"/>
              </w:rPr>
            </w:pPr>
            <w:r>
              <w:rPr>
                <w:rFonts w:ascii="Arial" w:cs="Arial" w:eastAsia="Arial" w:hAnsi="Arial"/>
                <w:sz w:val="18"/>
                <w:szCs w:val="18"/>
                <w:b w:val="1"/>
                <w:bCs w:val="1"/>
                <w:color w:val="auto"/>
              </w:rPr>
              <w:t>PART I - FINANCIAL INFORMATION</w:t>
            </w:r>
          </w:p>
        </w:tc>
        <w:tc>
          <w:tcPr>
            <w:tcW w:w="460" w:type="dxa"/>
            <w:vAlign w:val="bottom"/>
          </w:tcPr>
          <w:p>
            <w:pPr>
              <w:spacing w:after="0"/>
              <w:rPr>
                <w:sz w:val="20"/>
                <w:szCs w:val="20"/>
                <w:color w:val="auto"/>
              </w:rPr>
            </w:pPr>
          </w:p>
        </w:tc>
      </w:tr>
      <w:tr>
        <w:trPr>
          <w:trHeight w:val="432"/>
        </w:trPr>
        <w:tc>
          <w:tcPr>
            <w:tcW w:w="10380" w:type="dxa"/>
            <w:vAlign w:val="bottom"/>
            <w:gridSpan w:val="6"/>
          </w:tcPr>
          <w:p>
            <w:pPr>
              <w:spacing w:after="0"/>
              <w:rPr>
                <w:sz w:val="20"/>
                <w:szCs w:val="20"/>
                <w:color w:val="auto"/>
              </w:rPr>
            </w:pPr>
            <w:r>
              <w:rPr>
                <w:rFonts w:ascii="Arial" w:cs="Arial" w:eastAsia="Arial" w:hAnsi="Arial"/>
                <w:sz w:val="18"/>
                <w:szCs w:val="18"/>
                <w:b w:val="1"/>
                <w:bCs w:val="1"/>
                <w:color w:val="auto"/>
              </w:rPr>
              <w:t>Item 1. Financial Statements</w:t>
            </w:r>
          </w:p>
        </w:tc>
        <w:tc>
          <w:tcPr>
            <w:tcW w:w="460" w:type="dxa"/>
            <w:vAlign w:val="bottom"/>
          </w:tcPr>
          <w:p>
            <w:pPr>
              <w:spacing w:after="0"/>
              <w:rPr>
                <w:sz w:val="24"/>
                <w:szCs w:val="24"/>
                <w:color w:val="auto"/>
              </w:rPr>
            </w:pPr>
          </w:p>
        </w:tc>
      </w:tr>
      <w:tr>
        <w:trPr>
          <w:trHeight w:val="432"/>
        </w:trPr>
        <w:tc>
          <w:tcPr>
            <w:tcW w:w="10380" w:type="dxa"/>
            <w:vAlign w:val="bottom"/>
            <w:gridSpan w:val="6"/>
          </w:tcPr>
          <w:p>
            <w:pPr>
              <w:spacing w:after="0"/>
              <w:rPr>
                <w:sz w:val="20"/>
                <w:szCs w:val="20"/>
                <w:color w:val="auto"/>
              </w:rPr>
            </w:pPr>
            <w:r>
              <w:rPr>
                <w:rFonts w:ascii="Arial" w:cs="Arial" w:eastAsia="Arial" w:hAnsi="Arial"/>
                <w:sz w:val="18"/>
                <w:szCs w:val="18"/>
                <w:color w:val="auto"/>
              </w:rPr>
              <w:t>Our condensed consolidated financial statements included in this Form 10-Q are as follows:</w:t>
            </w:r>
          </w:p>
        </w:tc>
        <w:tc>
          <w:tcPr>
            <w:tcW w:w="460" w:type="dxa"/>
            <w:vAlign w:val="bottom"/>
          </w:tcPr>
          <w:p>
            <w:pPr>
              <w:spacing w:after="0"/>
              <w:rPr>
                <w:sz w:val="24"/>
                <w:szCs w:val="24"/>
                <w:color w:val="auto"/>
              </w:rPr>
            </w:pPr>
          </w:p>
        </w:tc>
      </w:tr>
      <w:tr>
        <w:trPr>
          <w:trHeight w:val="392"/>
        </w:trPr>
        <w:tc>
          <w:tcPr>
            <w:tcW w:w="1038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2021 (unaudited) and December 31, 2020 (unaudited);</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92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380" w:type="dxa"/>
            <w:vAlign w:val="bottom"/>
            <w:gridSpan w:val="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months ended March 31, 2021 and 2020 (unaudited);</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920" w:type="dxa"/>
            <w:vAlign w:val="bottom"/>
            <w:shd w:val="clear" w:color="auto" w:fill="0000EE"/>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0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Changes in Stockholders’ Equity for the three months ended March 31, 2021 and 2020 (unaudited)</w:t>
              </w:r>
            </w:hyperlink>
          </w:p>
        </w:tc>
        <w:tc>
          <w:tcPr>
            <w:tcW w:w="3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5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three months ended March 31, 2021 and 2020 (unaudited);</w:t>
              </w:r>
            </w:hyperlink>
          </w:p>
        </w:tc>
        <w:tc>
          <w:tcPr>
            <w:tcW w:w="186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380" w:type="dxa"/>
            <w:vAlign w:val="bottom"/>
            <w:gridSpan w:val="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920" w:type="dxa"/>
            <w:vAlign w:val="bottom"/>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904" w:right="7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March 31,</w:t>
            </w: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82,278,696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10,516,776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14,738,890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17,885,705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3,519,528</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4,456,611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100,537,114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32,859,092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line="203" w:lineRule="exact"/>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142,119</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148,854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14,740,031</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14,740,031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Technology assets, net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5,049,334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5,251,822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Patent rights, net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2,304,923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2,349,570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Right of use assets, net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422,635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445,974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4,361,665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4,519,552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Security deposits and other assets</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12,859</w:t>
            </w:r>
          </w:p>
        </w:tc>
        <w:tc>
          <w:tcPr>
            <w:tcW w:w="1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12,859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line="203" w:lineRule="exact"/>
              <w:rPr>
                <w:sz w:val="20"/>
                <w:szCs w:val="20"/>
                <w:color w:val="auto"/>
              </w:rPr>
            </w:pPr>
            <w:r>
              <w:rPr>
                <w:rFonts w:ascii="Arial" w:cs="Arial" w:eastAsia="Arial" w:hAnsi="Arial"/>
                <w:sz w:val="18"/>
                <w:szCs w:val="18"/>
                <w:color w:val="auto"/>
              </w:rPr>
              <w:t>Total Other Assets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26,891,447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27,319,808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127,570,680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60,327,754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8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499,279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618,250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869,791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2,420,361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3,493,805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4,969,868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lease obligations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119,389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123,220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contingent purchase price payable</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1,610,813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448,140</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285,795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line="203" w:lineRule="exact"/>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5,430,404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10,028,307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Lease obligations, net of current portion</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305,039</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325,533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line="203" w:lineRule="exact"/>
              <w:rPr>
                <w:sz w:val="20"/>
                <w:szCs w:val="20"/>
                <w:color w:val="auto"/>
              </w:rPr>
            </w:pPr>
            <w:r>
              <w:rPr>
                <w:rFonts w:ascii="Arial" w:cs="Arial" w:eastAsia="Arial" w:hAnsi="Arial"/>
                <w:sz w:val="18"/>
                <w:szCs w:val="18"/>
                <w:color w:val="auto"/>
              </w:rPr>
              <w:t>Total Non-current liabilities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305,039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325,533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5,735,443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10,353,840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Commitments and contingencies (See note 7)</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1"/>
              </w:rPr>
              <w:t>Preferred stock, $0.001 par value, 10,000,000 shares authorized, none issued and outstanding at March 31, 2021 or</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December 31, 2020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3"/>
              </w:rPr>
              <w:t>Common stock, $0.001 par value, 166,666,667 shares authorized, 17,260,588 and 15,223,340 shares issued and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outstanding at March 31, 2021 and December 31, 2020, respectively</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17,261</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158,087,090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85,590,428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(36,269,114)</w:t>
            </w: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w w:val="97"/>
              </w:rPr>
              <w:t>(35,631,737)</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line="203" w:lineRule="exact"/>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121,835,237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49,973,914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127,570,680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60,327,754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center"/>
        <w:ind w:left="8540"/>
        <w:spacing w:after="0"/>
        <w:rPr>
          <w:sz w:val="20"/>
          <w:szCs w:val="20"/>
          <w:color w:val="auto"/>
        </w:rPr>
      </w:pPr>
      <w:r>
        <w:rPr>
          <w:rFonts w:ascii="Arial" w:cs="Arial" w:eastAsia="Arial" w:hAnsi="Arial"/>
          <w:sz w:val="18"/>
          <w:szCs w:val="18"/>
          <w:color w:val="auto"/>
        </w:rPr>
        <w:t>For the Three Months</w:t>
      </w:r>
    </w:p>
    <w:p>
      <w:pPr>
        <w:spacing w:after="0" w:line="23" w:lineRule="exact"/>
        <w:rPr>
          <w:sz w:val="20"/>
          <w:szCs w:val="20"/>
          <w:color w:val="auto"/>
        </w:rPr>
      </w:pPr>
    </w:p>
    <w:p>
      <w:pPr>
        <w:jc w:val="center"/>
        <w:ind w:left="8540"/>
        <w:spacing w:after="0"/>
        <w:rPr>
          <w:sz w:val="20"/>
          <w:szCs w:val="20"/>
          <w:color w:val="auto"/>
        </w:rPr>
      </w:pPr>
      <w:r>
        <w:rPr>
          <w:rFonts w:ascii="Arial" w:cs="Arial" w:eastAsia="Arial" w:hAnsi="Arial"/>
          <w:sz w:val="18"/>
          <w:szCs w:val="18"/>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2020</w:t>
            </w: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TOTAL REVENUE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   11,229,211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7,584,602</w:t>
            </w: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COST OF REVENUES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5,104,603</w:t>
            </w:r>
          </w:p>
        </w:tc>
        <w:tc>
          <w:tcPr>
            <w:tcW w:w="240" w:type="dxa"/>
            <w:vAlign w:val="bottom"/>
          </w:tcPr>
          <w:p>
            <w:pPr>
              <w:spacing w:after="0"/>
              <w:rPr>
                <w:sz w:val="21"/>
                <w:szCs w:val="21"/>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87"/>
              </w:rPr>
              <w:t>3,241,763</w:t>
            </w:r>
          </w:p>
        </w:tc>
      </w:tr>
      <w:tr>
        <w:trPr>
          <w:trHeight w:val="27"/>
        </w:trPr>
        <w:tc>
          <w:tcPr>
            <w:tcW w:w="86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r>
        <w:trPr>
          <w:trHeight w:val="432"/>
        </w:trPr>
        <w:tc>
          <w:tcPr>
            <w:tcW w:w="868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6,124,608</w:t>
            </w:r>
          </w:p>
        </w:tc>
        <w:tc>
          <w:tcPr>
            <w:tcW w:w="24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87"/>
              </w:rPr>
              <w:t>4,342,839</w:t>
            </w:r>
          </w:p>
        </w:tc>
      </w:tr>
      <w:tr>
        <w:trPr>
          <w:trHeight w:val="445"/>
        </w:trPr>
        <w:tc>
          <w:tcPr>
            <w:tcW w:w="8680" w:type="dxa"/>
            <w:vAlign w:val="bottom"/>
          </w:tcPr>
          <w:p>
            <w:pPr>
              <w:spacing w:after="0"/>
              <w:rPr>
                <w:sz w:val="20"/>
                <w:szCs w:val="20"/>
                <w:color w:val="auto"/>
              </w:rPr>
            </w:pPr>
            <w:r>
              <w:rPr>
                <w:rFonts w:ascii="Arial" w:cs="Arial" w:eastAsia="Arial" w:hAnsi="Arial"/>
                <w:sz w:val="18"/>
                <w:szCs w:val="18"/>
                <w:color w:val="auto"/>
              </w:rPr>
              <w:t>OPERATING EXPENSES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6,762,916</w:t>
            </w:r>
          </w:p>
        </w:tc>
        <w:tc>
          <w:tcPr>
            <w:tcW w:w="24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87"/>
              </w:rPr>
              <w:t>6,602,091</w:t>
            </w:r>
          </w:p>
        </w:tc>
      </w:tr>
      <w:tr>
        <w:trPr>
          <w:trHeight w:val="27"/>
        </w:trPr>
        <w:tc>
          <w:tcPr>
            <w:tcW w:w="86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00"/>
          </w:cols>
          <w:pgMar w:left="320" w:top="904" w:right="379" w:bottom="1440" w:gutter="0" w:footer="0" w:header="0"/>
        </w:sectPr>
      </w:pP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LOSS FROM OPERATIONS</w:t>
      </w:r>
    </w:p>
    <w:p>
      <w:pPr>
        <w:spacing w:after="0" w:line="225" w:lineRule="exact"/>
        <w:rPr>
          <w:sz w:val="20"/>
          <w:szCs w:val="20"/>
          <w:color w:val="auto"/>
        </w:rPr>
      </w:pPr>
    </w:p>
    <w:p>
      <w:pPr>
        <w:jc w:val="right"/>
        <w:ind w:right="6600"/>
        <w:spacing w:after="0"/>
        <w:rPr>
          <w:sz w:val="20"/>
          <w:szCs w:val="20"/>
          <w:color w:val="auto"/>
        </w:rPr>
      </w:pPr>
      <w:r>
        <w:rPr>
          <w:rFonts w:ascii="Arial" w:cs="Arial" w:eastAsia="Arial" w:hAnsi="Arial"/>
          <w:sz w:val="17"/>
          <w:szCs w:val="17"/>
          <w:color w:val="auto"/>
        </w:rPr>
        <w:t>OTHER INCOME</w:t>
      </w:r>
    </w:p>
    <w:p>
      <w:pPr>
        <w:spacing w:after="0" w:line="35" w:lineRule="exact"/>
        <w:rPr>
          <w:sz w:val="20"/>
          <w:szCs w:val="20"/>
          <w:color w:val="auto"/>
        </w:rPr>
      </w:pPr>
    </w:p>
    <w:p>
      <w:pPr>
        <w:jc w:val="right"/>
        <w:ind w:right="6640"/>
        <w:spacing w:after="0"/>
        <w:rPr>
          <w:sz w:val="20"/>
          <w:szCs w:val="20"/>
          <w:color w:val="auto"/>
        </w:rPr>
      </w:pPr>
      <w:r>
        <w:rPr>
          <w:rFonts w:ascii="Arial" w:cs="Arial" w:eastAsia="Arial" w:hAnsi="Arial"/>
          <w:sz w:val="18"/>
          <w:szCs w:val="18"/>
          <w:color w:val="auto"/>
        </w:rPr>
        <w:t>Interest Income</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OTHER INCOME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LOSS BEFORE PROVISION FOR INCOME TAXES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(638,308)</w:t>
            </w:r>
          </w:p>
        </w:tc>
        <w:tc>
          <w:tcPr>
            <w:tcW w:w="22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(2,259,252)</w:t>
            </w:r>
          </w:p>
        </w:tc>
      </w:tr>
      <w:tr>
        <w:trPr>
          <w:trHeight w:val="668"/>
        </w:trPr>
        <w:tc>
          <w:tcPr>
            <w:tcW w:w="280" w:type="dxa"/>
            <w:vAlign w:val="bottom"/>
          </w:tcPr>
          <w:p>
            <w:pPr>
              <w:spacing w:after="0"/>
              <w:rPr>
                <w:sz w:val="24"/>
                <w:szCs w:val="24"/>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931</w:t>
            </w:r>
          </w:p>
        </w:tc>
        <w:tc>
          <w:tcPr>
            <w:tcW w:w="2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55,321</w:t>
            </w:r>
          </w:p>
        </w:tc>
        <w:tc>
          <w:tcPr>
            <w:tcW w:w="40" w:type="dxa"/>
            <w:vAlign w:val="bottom"/>
          </w:tcPr>
          <w:p>
            <w:pPr>
              <w:spacing w:after="0"/>
              <w:rPr>
                <w:sz w:val="24"/>
                <w:szCs w:val="24"/>
                <w:color w:val="auto"/>
              </w:rPr>
            </w:pPr>
          </w:p>
        </w:tc>
      </w:t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55,321</w:t>
            </w:r>
          </w:p>
        </w:tc>
        <w:tc>
          <w:tcPr>
            <w:tcW w:w="40" w:type="dxa"/>
            <w:vAlign w:val="bottom"/>
          </w:tcPr>
          <w:p>
            <w:pPr>
              <w:spacing w:after="0"/>
              <w:rPr>
                <w:sz w:val="19"/>
                <w:szCs w:val="19"/>
                <w:color w:val="auto"/>
              </w:rPr>
            </w:pPr>
          </w:p>
        </w:tc>
      </w:tr>
      <w:tr>
        <w:trPr>
          <w:trHeight w:val="215"/>
        </w:trPr>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(637,377)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5"/>
              </w:rPr>
              <w:t>(2,203,931)</w:t>
            </w:r>
          </w:p>
        </w:tc>
        <w:tc>
          <w:tcPr>
            <w:tcW w:w="40" w:type="dxa"/>
            <w:vAlign w:val="bottom"/>
          </w:tcPr>
          <w:p>
            <w:pPr>
              <w:spacing w:after="0"/>
              <w:rPr>
                <w:sz w:val="18"/>
                <w:szCs w:val="18"/>
                <w:color w:val="auto"/>
              </w:rPr>
            </w:pPr>
          </w:p>
        </w:tc>
      </w:tr>
      <w:tr>
        <w:trPr>
          <w:trHeight w:val="237"/>
        </w:trPr>
        <w:tc>
          <w:tcPr>
            <w:tcW w:w="2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0"/>
        </w:trPr>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(637,377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(2,203,931</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20"/>
          </w:cols>
          <w:pgMar w:left="320" w:top="904" w:right="37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86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16,101,837</w:t>
            </w: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14,609,499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16,101,837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14,609,499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(0.04)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50"/>
        </w:trPr>
        <w:tc>
          <w:tcPr>
            <w:tcW w:w="8680" w:type="dxa"/>
            <w:vAlign w:val="bottom"/>
          </w:tcPr>
          <w:p>
            <w:pPr>
              <w:ind w:left="180"/>
              <w:spacing w:after="0" w:line="203" w:lineRule="exact"/>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(0.15</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type w:val="continuous"/>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1"/>
        </w:trPr>
        <w:tc>
          <w:tcPr>
            <w:tcW w:w="4620" w:type="dxa"/>
            <w:vAlign w:val="bottom"/>
          </w:tcPr>
          <w:p>
            <w:pPr>
              <w:spacing w:after="0"/>
              <w:rPr>
                <w:sz w:val="21"/>
                <w:szCs w:val="21"/>
                <w:color w:val="auto"/>
              </w:rPr>
            </w:pPr>
          </w:p>
        </w:tc>
        <w:tc>
          <w:tcPr>
            <w:tcW w:w="2760" w:type="dxa"/>
            <w:vAlign w:val="bottom"/>
            <w:gridSpan w:val="5"/>
          </w:tcPr>
          <w:p>
            <w:pPr>
              <w:ind w:left="70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Paid in</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6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Shares</w:t>
            </w: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Capital</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Deficit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Balance January 1, 2021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15,223,340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15,223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85,590,428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(35,631,737)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49,973,914</w:t>
            </w:r>
          </w:p>
        </w:tc>
        <w:tc>
          <w:tcPr>
            <w:tcW w:w="60" w:type="dxa"/>
            <w:vAlign w:val="bottom"/>
          </w:tcPr>
          <w:p>
            <w:pPr>
              <w:spacing w:after="0"/>
              <w:rPr>
                <w:sz w:val="24"/>
                <w:szCs w:val="24"/>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Public offering of common shares, net of offering costs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1,523,750</w:t>
            </w: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70,670,012</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70,671,536</w:t>
            </w:r>
          </w:p>
        </w:tc>
        <w:tc>
          <w:tcPr>
            <w:tcW w:w="60" w:type="dxa"/>
            <w:vAlign w:val="bottom"/>
          </w:tcPr>
          <w:p>
            <w:pPr>
              <w:spacing w:after="0"/>
              <w:rPr>
                <w:sz w:val="24"/>
                <w:szCs w:val="24"/>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as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2,695</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124,991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124,994</w:t>
            </w:r>
          </w:p>
        </w:tc>
        <w:tc>
          <w:tcPr>
            <w:tcW w:w="6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510,803</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1,119,500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1,120,011</w:t>
            </w:r>
          </w:p>
        </w:tc>
        <w:tc>
          <w:tcPr>
            <w:tcW w:w="6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582,159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582,159</w:t>
            </w:r>
          </w:p>
        </w:tc>
        <w:tc>
          <w:tcPr>
            <w:tcW w:w="60" w:type="dxa"/>
            <w:vAlign w:val="bottom"/>
          </w:tcPr>
          <w:p>
            <w:pPr>
              <w:spacing w:after="0"/>
              <w:rPr>
                <w:sz w:val="18"/>
                <w:szCs w:val="18"/>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(637,377)</w:t>
            </w:r>
          </w:p>
        </w:tc>
        <w:tc>
          <w:tcPr>
            <w:tcW w:w="1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(637,377)</w:t>
            </w: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79"/>
        </w:trPr>
        <w:tc>
          <w:tcPr>
            <w:tcW w:w="4620" w:type="dxa"/>
            <w:vAlign w:val="bottom"/>
          </w:tcPr>
          <w:p>
            <w:pPr>
              <w:spacing w:after="0"/>
              <w:rPr>
                <w:sz w:val="20"/>
                <w:szCs w:val="20"/>
                <w:color w:val="auto"/>
              </w:rPr>
            </w:pPr>
            <w:r>
              <w:rPr>
                <w:rFonts w:ascii="Arial" w:cs="Arial" w:eastAsia="Arial" w:hAnsi="Arial"/>
                <w:sz w:val="18"/>
                <w:szCs w:val="18"/>
                <w:color w:val="auto"/>
              </w:rPr>
              <w:t>Balance March 31, 2021</w:t>
            </w:r>
          </w:p>
        </w:tc>
        <w:tc>
          <w:tcPr>
            <w:tcW w:w="1140" w:type="dxa"/>
            <w:vAlign w:val="bottom"/>
          </w:tcPr>
          <w:p>
            <w:pPr>
              <w:jc w:val="right"/>
              <w:spacing w:after="0"/>
              <w:rPr>
                <w:sz w:val="20"/>
                <w:szCs w:val="20"/>
                <w:color w:val="auto"/>
              </w:rPr>
            </w:pPr>
            <w:r>
              <w:rPr>
                <w:rFonts w:ascii="Arial" w:cs="Arial" w:eastAsia="Arial" w:hAnsi="Arial"/>
                <w:sz w:val="18"/>
                <w:szCs w:val="18"/>
                <w:color w:val="auto"/>
              </w:rPr>
              <w:t>17,260,588</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17,261</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158,087,090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(36,269,114</w:t>
            </w:r>
            <w:r>
              <w:rPr>
                <w:rFonts w:ascii="Arial" w:cs="Arial" w:eastAsia="Arial" w:hAnsi="Arial"/>
                <w:sz w:val="35"/>
                <w:szCs w:val="35"/>
                <w:color w:val="auto"/>
                <w:w w:val="94"/>
                <w:vertAlign w:val="super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121,835,237</w:t>
            </w:r>
          </w:p>
        </w:tc>
        <w:tc>
          <w:tcPr>
            <w:tcW w:w="60" w:type="dxa"/>
            <w:vAlign w:val="bottom"/>
          </w:tcPr>
          <w:p>
            <w:pPr>
              <w:spacing w:after="0"/>
              <w:rPr>
                <w:sz w:val="24"/>
                <w:szCs w:val="24"/>
                <w:color w:val="auto"/>
              </w:rPr>
            </w:pP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8"/>
        </w:trPr>
        <w:tc>
          <w:tcPr>
            <w:tcW w:w="4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Additional</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1"/>
        </w:trPr>
        <w:tc>
          <w:tcPr>
            <w:tcW w:w="4620" w:type="dxa"/>
            <w:vAlign w:val="bottom"/>
          </w:tcPr>
          <w:p>
            <w:pPr>
              <w:spacing w:after="0"/>
              <w:rPr>
                <w:sz w:val="21"/>
                <w:szCs w:val="21"/>
                <w:color w:val="auto"/>
              </w:rPr>
            </w:pPr>
          </w:p>
        </w:tc>
        <w:tc>
          <w:tcPr>
            <w:tcW w:w="2760" w:type="dxa"/>
            <w:vAlign w:val="bottom"/>
            <w:gridSpan w:val="5"/>
          </w:tcPr>
          <w:p>
            <w:pPr>
              <w:ind w:left="70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Paid in</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6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Shares</w:t>
            </w: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Capital</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Deficit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Balance January 1, 2020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14,600,579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14,601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78,272,268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(33,424,610)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44,862,259</w:t>
            </w:r>
          </w:p>
        </w:tc>
        <w:tc>
          <w:tcPr>
            <w:tcW w:w="60" w:type="dxa"/>
            <w:vAlign w:val="bottom"/>
          </w:tcPr>
          <w:p>
            <w:pPr>
              <w:spacing w:after="0"/>
              <w:rPr>
                <w:sz w:val="24"/>
                <w:szCs w:val="24"/>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Shares issued as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11,136</w:t>
            </w: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99,989</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24"/>
                <w:szCs w:val="24"/>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35,032</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112,117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112,152</w:t>
            </w:r>
          </w:p>
        </w:tc>
        <w:tc>
          <w:tcPr>
            <w:tcW w:w="6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754,512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754,512</w:t>
            </w:r>
          </w:p>
        </w:tc>
        <w:tc>
          <w:tcPr>
            <w:tcW w:w="60" w:type="dxa"/>
            <w:vAlign w:val="bottom"/>
          </w:tcPr>
          <w:p>
            <w:pPr>
              <w:spacing w:after="0"/>
              <w:rPr>
                <w:sz w:val="18"/>
                <w:szCs w:val="18"/>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(2,203,931)</w:t>
            </w:r>
          </w:p>
        </w:tc>
        <w:tc>
          <w:tcPr>
            <w:tcW w:w="1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(2,203,931)</w:t>
            </w: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79"/>
        </w:trPr>
        <w:tc>
          <w:tcPr>
            <w:tcW w:w="4620" w:type="dxa"/>
            <w:vAlign w:val="bottom"/>
          </w:tcPr>
          <w:p>
            <w:pPr>
              <w:spacing w:after="0"/>
              <w:rPr>
                <w:sz w:val="20"/>
                <w:szCs w:val="20"/>
                <w:color w:val="auto"/>
              </w:rPr>
            </w:pPr>
            <w:r>
              <w:rPr>
                <w:rFonts w:ascii="Arial" w:cs="Arial" w:eastAsia="Arial" w:hAnsi="Arial"/>
                <w:sz w:val="18"/>
                <w:szCs w:val="18"/>
                <w:color w:val="auto"/>
              </w:rPr>
              <w:t>Balance March 31, 2020</w:t>
            </w:r>
          </w:p>
        </w:tc>
        <w:tc>
          <w:tcPr>
            <w:tcW w:w="1140" w:type="dxa"/>
            <w:vAlign w:val="bottom"/>
          </w:tcPr>
          <w:p>
            <w:pPr>
              <w:jc w:val="right"/>
              <w:spacing w:after="0"/>
              <w:rPr>
                <w:sz w:val="20"/>
                <w:szCs w:val="20"/>
                <w:color w:val="auto"/>
              </w:rPr>
            </w:pPr>
            <w:r>
              <w:rPr>
                <w:rFonts w:ascii="Arial" w:cs="Arial" w:eastAsia="Arial" w:hAnsi="Arial"/>
                <w:sz w:val="18"/>
                <w:szCs w:val="18"/>
                <w:color w:val="auto"/>
              </w:rPr>
              <w:t>14,646,747</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14,647</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79,238,886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(35,628,541</w:t>
            </w:r>
            <w:r>
              <w:rPr>
                <w:rFonts w:ascii="Arial" w:cs="Arial" w:eastAsia="Arial" w:hAnsi="Arial"/>
                <w:sz w:val="35"/>
                <w:szCs w:val="35"/>
                <w:color w:val="auto"/>
                <w:w w:val="94"/>
                <w:vertAlign w:val="super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43,624,992</w:t>
            </w:r>
          </w:p>
        </w:tc>
        <w:tc>
          <w:tcPr>
            <w:tcW w:w="60" w:type="dxa"/>
            <w:vAlign w:val="bottom"/>
          </w:tcPr>
          <w:p>
            <w:pPr>
              <w:spacing w:after="0"/>
              <w:rPr>
                <w:sz w:val="24"/>
                <w:szCs w:val="24"/>
                <w:color w:val="auto"/>
              </w:rPr>
            </w:pP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jc w:val="center"/>
        <w:ind w:left="292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left="292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1" w:lineRule="exact"/>
        <w:rPr>
          <w:sz w:val="20"/>
          <w:szCs w:val="20"/>
          <w:color w:val="auto"/>
        </w:rPr>
      </w:pPr>
    </w:p>
    <w:p>
      <w:pPr>
        <w:jc w:val="center"/>
        <w:ind w:left="29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amortization and non-cash lease expense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issued for board service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Provision for loss on accounts receivable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Changes in: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 and other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Revenue share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expenses and other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revenue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OPERATING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intangible assets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equipment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FINANCING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public offering of common stock, net of offering costs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exercise of stock options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 of contingent consideration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w:t>
      </w:r>
    </w:p>
    <w:p>
      <w:pPr>
        <w:spacing w:after="0" w:line="50" w:lineRule="exact"/>
        <w:rPr>
          <w:sz w:val="20"/>
          <w:szCs w:val="20"/>
          <w:color w:val="auto"/>
        </w:rPr>
      </w:pPr>
    </w:p>
    <w:p>
      <w:pPr>
        <w:ind w:right="2960"/>
        <w:spacing w:after="0" w:line="281" w:lineRule="auto"/>
        <w:rPr>
          <w:sz w:val="20"/>
          <w:szCs w:val="20"/>
          <w:color w:val="auto"/>
        </w:rPr>
      </w:pPr>
      <w:r>
        <w:rPr>
          <w:rFonts w:ascii="Arial" w:cs="Arial" w:eastAsia="Arial" w:hAnsi="Arial"/>
          <w:sz w:val="17"/>
          <w:szCs w:val="17"/>
          <w:color w:val="auto"/>
        </w:rPr>
        <w:t>NET INCREASE (DECREASE) IN CASH AND CASH EQUIVALENTS CASH AND CASH EQUIVALENTS - BEGINNING OF PERIOD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 END OF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paid for interest</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paid for income taxes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Lease liabilities arising from right of use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5"/>
        <w:spacing w:after="0"/>
        <w:rPr>
          <w:sz w:val="20"/>
          <w:szCs w:val="20"/>
          <w:color w:val="auto"/>
        </w:rPr>
      </w:pPr>
      <w:r>
        <w:rPr>
          <w:rFonts w:ascii="Arial" w:cs="Arial" w:eastAsia="Arial" w:hAnsi="Arial"/>
          <w:sz w:val="18"/>
          <w:szCs w:val="18"/>
          <w:color w:val="auto"/>
        </w:rPr>
        <w:t>For the Three Months</w:t>
      </w:r>
    </w:p>
    <w:p>
      <w:pPr>
        <w:spacing w:after="0" w:line="23" w:lineRule="exact"/>
        <w:rPr>
          <w:sz w:val="20"/>
          <w:szCs w:val="20"/>
          <w:color w:val="auto"/>
        </w:rPr>
      </w:pPr>
    </w:p>
    <w:p>
      <w:pPr>
        <w:ind w:left="605"/>
        <w:spacing w:after="0"/>
        <w:rPr>
          <w:sz w:val="20"/>
          <w:szCs w:val="20"/>
          <w:color w:val="auto"/>
        </w:rPr>
      </w:pPr>
      <w:r>
        <w:rPr>
          <w:rFonts w:ascii="Arial" w:cs="Arial" w:eastAsia="Arial" w:hAnsi="Arial"/>
          <w:sz w:val="18"/>
          <w:szCs w:val="18"/>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5513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305" cy="17145"/>
                    </a:xfrm>
                    <a:prstGeom prst="rect">
                      <a:avLst/>
                    </a:prstGeom>
                    <a:noFill/>
                  </pic:spPr>
                </pic:pic>
              </a:graphicData>
            </a:graphic>
          </wp:anchor>
        </w:drawing>
      </w:r>
    </w:p>
    <w:p>
      <w:pPr>
        <w:spacing w:after="0" w:line="15" w:lineRule="exact"/>
        <w:rPr>
          <w:sz w:val="20"/>
          <w:szCs w:val="20"/>
          <w:color w:val="auto"/>
        </w:rPr>
      </w:pPr>
    </w:p>
    <w:p>
      <w:pPr>
        <w:ind w:left="385"/>
        <w:spacing w:after="0"/>
        <w:tabs>
          <w:tab w:leader="none" w:pos="1685"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5130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51305" cy="17145"/>
                    </a:xfrm>
                    <a:prstGeom prst="rect">
                      <a:avLst/>
                    </a:prstGeom>
                    <a:noFill/>
                  </pic:spPr>
                </pic:pic>
              </a:graphicData>
            </a:graphic>
          </wp:anchor>
        </w:drawing>
      </w:r>
    </w:p>
    <w:p>
      <w:pPr>
        <w:spacing w:after="0" w:line="232" w:lineRule="exact"/>
        <w:rPr>
          <w:sz w:val="20"/>
          <w:szCs w:val="20"/>
          <w:color w:val="auto"/>
        </w:rPr>
      </w:pPr>
    </w:p>
    <w:p>
      <w:pPr>
        <w:ind w:left="485" w:hanging="485"/>
        <w:spacing w:after="0"/>
        <w:tabs>
          <w:tab w:leader="none" w:pos="485" w:val="left"/>
        </w:tabs>
        <w:numPr>
          <w:ilvl w:val="0"/>
          <w:numId w:val="2"/>
        </w:numPr>
        <w:rPr>
          <w:rFonts w:ascii="Arial" w:cs="Arial" w:eastAsia="Arial" w:hAnsi="Arial"/>
          <w:sz w:val="18"/>
          <w:szCs w:val="18"/>
          <w:color w:val="auto"/>
        </w:rPr>
      </w:pPr>
      <w:r>
        <w:rPr>
          <w:rFonts w:ascii="Arial" w:cs="Arial" w:eastAsia="Arial" w:hAnsi="Arial"/>
          <w:sz w:val="18"/>
          <w:szCs w:val="18"/>
          <w:color w:val="auto"/>
        </w:rPr>
        <w:t>(637,377)  $   (2,203,931)</w:t>
      </w:r>
    </w:p>
    <w:p>
      <w:pPr>
        <w:spacing w:after="0" w:line="225"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526,180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519,669</w:t>
            </w:r>
          </w:p>
        </w:tc>
        <w:tc>
          <w:tcPr>
            <w:tcW w:w="1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582,159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754,512</w:t>
            </w:r>
          </w:p>
        </w:tc>
        <w:tc>
          <w:tcPr>
            <w:tcW w:w="1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124,994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418"/>
        </w:trPr>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3,126,815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(1,643,495))</w:t>
            </w: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937,083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21"/>
              <w:spacing w:after="0"/>
              <w:rPr>
                <w:sz w:val="20"/>
                <w:szCs w:val="20"/>
                <w:color w:val="auto"/>
              </w:rPr>
            </w:pPr>
            <w:r>
              <w:rPr>
                <w:rFonts w:ascii="Arial" w:cs="Arial" w:eastAsia="Arial" w:hAnsi="Arial"/>
                <w:sz w:val="18"/>
                <w:szCs w:val="18"/>
                <w:color w:val="auto"/>
              </w:rPr>
              <w:t>(2,099,448)</w:t>
            </w: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(118,971)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55,105</w:t>
            </w:r>
          </w:p>
        </w:tc>
        <w:tc>
          <w:tcPr>
            <w:tcW w:w="1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(1,476,063)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21"/>
              <w:spacing w:after="0"/>
              <w:rPr>
                <w:sz w:val="20"/>
                <w:szCs w:val="20"/>
                <w:color w:val="auto"/>
              </w:rPr>
            </w:pPr>
            <w:r>
              <w:rPr>
                <w:rFonts w:ascii="Arial" w:cs="Arial" w:eastAsia="Arial" w:hAnsi="Arial"/>
                <w:sz w:val="18"/>
                <w:szCs w:val="18"/>
                <w:color w:val="auto"/>
              </w:rPr>
              <w:t>1,021,811)</w:t>
            </w: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(1,581,415)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21"/>
              <w:spacing w:after="0"/>
              <w:rPr>
                <w:sz w:val="20"/>
                <w:szCs w:val="20"/>
                <w:color w:val="auto"/>
              </w:rPr>
            </w:pPr>
            <w:r>
              <w:rPr>
                <w:rFonts w:ascii="Arial" w:cs="Arial" w:eastAsia="Arial" w:hAnsi="Arial"/>
                <w:sz w:val="18"/>
                <w:szCs w:val="18"/>
                <w:color w:val="auto"/>
              </w:rPr>
              <w:t>(154,473)</w:t>
            </w:r>
          </w:p>
        </w:tc>
      </w:tr>
      <w:tr>
        <w:trPr>
          <w:trHeight w:val="251"/>
        </w:trPr>
        <w:tc>
          <w:tcPr>
            <w:tcW w:w="200" w:type="dxa"/>
            <w:vAlign w:val="bottom"/>
          </w:tcPr>
          <w:p>
            <w:pPr>
              <w:spacing w:after="0"/>
              <w:rPr>
                <w:sz w:val="21"/>
                <w:szCs w:val="21"/>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162,345</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jc w:val="right"/>
              <w:ind w:right="21"/>
              <w:spacing w:after="0"/>
              <w:rPr>
                <w:sz w:val="20"/>
                <w:szCs w:val="20"/>
                <w:color w:val="auto"/>
              </w:rPr>
            </w:pPr>
            <w:r>
              <w:rPr>
                <w:rFonts w:ascii="Arial" w:cs="Arial" w:eastAsia="Arial" w:hAnsi="Arial"/>
                <w:sz w:val="18"/>
                <w:szCs w:val="18"/>
                <w:color w:val="auto"/>
              </w:rPr>
              <w:t>(88,576)</w:t>
            </w:r>
          </w:p>
        </w:tc>
      </w:tr>
      <w:tr>
        <w:trPr>
          <w:trHeight w:val="223"/>
        </w:trPr>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1,665,750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(3,738,826</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r>
      <w:tr>
        <w:trPr>
          <w:trHeight w:val="661"/>
        </w:trPr>
        <w:tc>
          <w:tcPr>
            <w:tcW w:w="200" w:type="dxa"/>
            <w:vAlign w:val="bottom"/>
          </w:tcPr>
          <w:p>
            <w:pPr>
              <w:spacing w:after="0"/>
              <w:rPr>
                <w:sz w:val="24"/>
                <w:szCs w:val="24"/>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(64,693)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r>
      <w:tr>
        <w:trPr>
          <w:trHeight w:val="251"/>
        </w:trPr>
        <w:tc>
          <w:tcPr>
            <w:tcW w:w="20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(19,871)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jc w:val="right"/>
              <w:ind w:right="21"/>
              <w:spacing w:after="0"/>
              <w:rPr>
                <w:sz w:val="20"/>
                <w:szCs w:val="20"/>
                <w:color w:val="auto"/>
              </w:rPr>
            </w:pPr>
            <w:r>
              <w:rPr>
                <w:rFonts w:ascii="Arial" w:cs="Arial" w:eastAsia="Arial" w:hAnsi="Arial"/>
                <w:sz w:val="18"/>
                <w:szCs w:val="18"/>
                <w:color w:val="auto"/>
              </w:rPr>
              <w:t>(15,937)</w:t>
            </w:r>
          </w:p>
        </w:tc>
      </w:tr>
      <w:tr>
        <w:trPr>
          <w:trHeight w:val="223"/>
        </w:trPr>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(84,564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(15,937</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r>
      <w:tr>
        <w:trPr>
          <w:trHeight w:val="661"/>
        </w:trPr>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70,671,536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1,120,011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112,152</w:t>
            </w:r>
          </w:p>
        </w:tc>
        <w:tc>
          <w:tcPr>
            <w:tcW w:w="100" w:type="dxa"/>
            <w:vAlign w:val="bottom"/>
          </w:tcPr>
          <w:p>
            <w:pPr>
              <w:spacing w:after="0"/>
              <w:rPr>
                <w:sz w:val="18"/>
                <w:szCs w:val="18"/>
                <w:color w:val="auto"/>
              </w:rPr>
            </w:pPr>
          </w:p>
        </w:tc>
      </w:tr>
      <w:tr>
        <w:trPr>
          <w:trHeight w:val="251"/>
        </w:trPr>
        <w:tc>
          <w:tcPr>
            <w:tcW w:w="20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(1,610,813)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23"/>
        </w:trPr>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70,180,734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112,152</w:t>
            </w:r>
          </w:p>
        </w:tc>
        <w:tc>
          <w:tcPr>
            <w:tcW w:w="100" w:type="dxa"/>
            <w:vAlign w:val="bottom"/>
          </w:tcPr>
          <w:p>
            <w:pPr>
              <w:spacing w:after="0"/>
              <w:rPr>
                <w:sz w:val="19"/>
                <w:szCs w:val="19"/>
                <w:color w:val="auto"/>
              </w:rPr>
            </w:pPr>
          </w:p>
        </w:tc>
      </w:tr>
      <w:tr>
        <w:trPr>
          <w:trHeight w:val="215"/>
        </w:trPr>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71,761,920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(3,642,611)</w:t>
            </w:r>
          </w:p>
        </w:tc>
        <w:tc>
          <w:tcPr>
            <w:tcW w:w="100" w:type="dxa"/>
            <w:vAlign w:val="bottom"/>
          </w:tcPr>
          <w:p>
            <w:pPr>
              <w:spacing w:after="0"/>
              <w:rPr>
                <w:sz w:val="18"/>
                <w:szCs w:val="18"/>
                <w:color w:val="auto"/>
              </w:rPr>
            </w:pPr>
          </w:p>
        </w:tc>
      </w:tr>
      <w:tr>
        <w:trPr>
          <w:trHeight w:val="237"/>
        </w:trPr>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10,516,776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18,852,680</w:t>
            </w:r>
          </w:p>
        </w:tc>
        <w:tc>
          <w:tcPr>
            <w:tcW w:w="100" w:type="dxa"/>
            <w:vAlign w:val="bottom"/>
          </w:tcPr>
          <w:p>
            <w:pPr>
              <w:spacing w:after="0"/>
              <w:rPr>
                <w:sz w:val="20"/>
                <w:szCs w:val="20"/>
                <w:color w:val="auto"/>
              </w:rPr>
            </w:pPr>
          </w:p>
        </w:tc>
      </w:tr>
      <w:tr>
        <w:trPr>
          <w:trHeight w:val="250"/>
        </w:trPr>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82,278,696</w:t>
            </w:r>
          </w:p>
        </w:tc>
        <w:tc>
          <w:tcPr>
            <w:tcW w:w="220" w:type="dxa"/>
            <w:vAlign w:val="bottom"/>
          </w:tcPr>
          <w:p>
            <w:pPr>
              <w:spacing w:after="0"/>
              <w:rPr>
                <w:sz w:val="21"/>
                <w:szCs w:val="21"/>
                <w:color w:val="auto"/>
              </w:rPr>
            </w:pPr>
          </w:p>
        </w:tc>
        <w:tc>
          <w:tcPr>
            <w:tcW w:w="18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15,210,069</w:t>
            </w:r>
          </w:p>
        </w:tc>
        <w:tc>
          <w:tcPr>
            <w:tcW w:w="100" w:type="dxa"/>
            <w:vAlign w:val="bottom"/>
          </w:tcPr>
          <w:p>
            <w:pPr>
              <w:spacing w:after="0"/>
              <w:rPr>
                <w:sz w:val="21"/>
                <w:szCs w:val="2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5"/>
        </w:trPr>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8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20" w:space="355"/>
            <w:col w:w="2565"/>
          </w:cols>
          <w:pgMar w:left="320" w:top="904" w:right="339" w:bottom="1440" w:gutter="0" w:footer="0" w:header="0"/>
        </w:sectPr>
      </w:pP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accompanying condensed consolidated financial statements include OptimizeRx Corporation and its wholly owned subsidiaries (collectively, the “Company”, “we”, “our”, or “us”).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condensed consolidated financial statements for the three months ended March 31, 2021 and 2020 have been prepared by us without audit pursuant to the rules and regulations of the U.S. Securities and Exchange Commission. In the opinion of management, all adjustments necessary to present fairly our financial position at March 31, 2021, and our results of operations, changes in stockholders’ equity, and cash flows for the three months ended March 31, 2021 and 2020, have been made. Those adjustments consist of normal and recurring adjustments. The condensed consolidated condensed balance sheet as of December 31, 2020, has been derived from the audited consolidated condensed balance sheet as of that date.</w:t>
      </w:r>
    </w:p>
    <w:p>
      <w:pPr>
        <w:spacing w:after="0" w:line="16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Certain information and note disclosures, including a detailed discussion about the Company’s significant accounting policies, normally included in our annual financial statements prepared in accordance with generally accepted accounting principles have been condensed or omitted. These consolidated condensed financial statements should be read in conjunction with a reading of the financial statements and notes thereto included in our Annual Report on Form 10-K for the fiscal year ended December 31, 2020, as filed with the U.S. Securities and Exchange Commission on March 8, 2021.</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for the three months ended March 31, 2021, are not necessarily indicative of the results to be expected for the full year.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NOTE 2 – NEW ACCOUNTING STANDARDS</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ASU 2019-12 is intended to improve consistent application and simplify the accounting for income taxes. ASU 2019-12 removes certain exceptions to the general principles in Topic 740 and clarifies and amends existing guidance. ASU 2019-12 is effective for annual and interim reporting periods beginning after December 12, 2020, with early adoption permitted. The adoption of this standard did not have a material effect on our financial position, results of operations, or cash flows.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LEASES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operating leases for office space in three multitenant facilities with lease terms greater than 12 months, which are recorded as assets and liabilities on our balance sheet. These leases include our corporate headquarters, located in Rochester, Michigan, a customer service facility in Cranbury, New Jersey, and a technical facility in Zagreb, Croatia. Certain leases contain renewal options and for the headquarters lease, we have assumed renewal. Lease-related assets, or right-of-use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Amortization of the right of use assets is recognized as non-cash lease expense on a straight-line basis over the lease term, while variable lease payments are expensed as incurred. Short term lease costs include month to month leases in shared office space facilities, such as WeWork, or similar locations.</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the three months ended March 31, 2021 and 2020, the Company’s lease cost consists of the following components, each of which is included in operating expenses within the Company’s condensed consolidated statements of operations: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Three Months</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0"/>
              </w:rPr>
              <w:t>Three Months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Ended</w:t>
            </w:r>
          </w:p>
        </w:tc>
        <w:tc>
          <w:tcPr>
            <w:tcW w:w="14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March 31,</w:t>
            </w:r>
          </w:p>
        </w:tc>
        <w:tc>
          <w:tcPr>
            <w:tcW w:w="14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Operating lease cost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33,365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32,814</w:t>
            </w: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Short-term lease cost</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15,924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44,629</w:t>
            </w: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color w:val="auto"/>
              </w:rPr>
              <w:t>Total lease cost</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49,289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77,443</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w w:val="90"/>
              </w:rPr>
              <w:t>The table below presents the future minimum lease payments to be made under operating leases as of March 31, 2021: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of March 31, 2021</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2021(a)</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106,915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104,572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101,414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80,742</w:t>
            </w:r>
          </w:p>
        </w:tc>
        <w:tc>
          <w:tcPr>
            <w:tcW w:w="0" w:type="dxa"/>
            <w:vAlign w:val="bottom"/>
          </w:tcPr>
          <w:p>
            <w:pPr>
              <w:spacing w:after="0"/>
              <w:rPr>
                <w:sz w:val="1"/>
                <w:szCs w:val="1"/>
                <w:color w:val="auto"/>
              </w:rPr>
            </w:pPr>
          </w:p>
        </w:tc>
      </w:tr>
      <w:tr>
        <w:trPr>
          <w:trHeight w:val="251"/>
        </w:trPr>
        <w:tc>
          <w:tcPr>
            <w:tcW w:w="8680" w:type="dxa"/>
            <w:vAlign w:val="bottom"/>
          </w:tcPr>
          <w:p>
            <w:pPr>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70,224</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Total</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463,867</w:t>
            </w:r>
          </w:p>
        </w:tc>
        <w:tc>
          <w:tcPr>
            <w:tcW w:w="0" w:type="dxa"/>
            <w:vAlign w:val="bottom"/>
          </w:tcPr>
          <w:p>
            <w:pPr>
              <w:spacing w:after="0"/>
              <w:rPr>
                <w:sz w:val="1"/>
                <w:szCs w:val="1"/>
                <w:color w:val="auto"/>
              </w:rPr>
            </w:pPr>
          </w:p>
        </w:tc>
      </w:tr>
      <w:tr>
        <w:trPr>
          <w:trHeight w:val="251"/>
        </w:trPr>
        <w:tc>
          <w:tcPr>
            <w:tcW w:w="8680" w:type="dxa"/>
            <w:vAlign w:val="bottom"/>
          </w:tcPr>
          <w:p>
            <w:pPr>
              <w:spacing w:after="0"/>
              <w:rPr>
                <w:sz w:val="20"/>
                <w:szCs w:val="20"/>
                <w:color w:val="auto"/>
              </w:rPr>
            </w:pPr>
            <w:r>
              <w:rPr>
                <w:rFonts w:ascii="Arial" w:cs="Arial" w:eastAsia="Arial" w:hAnsi="Arial"/>
                <w:sz w:val="18"/>
                <w:szCs w:val="18"/>
                <w:color w:val="auto"/>
              </w:rPr>
              <w:t>Less: discount</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39,439</w:t>
            </w:r>
          </w:p>
        </w:tc>
        <w:tc>
          <w:tcPr>
            <w:tcW w:w="0" w:type="dxa"/>
            <w:vAlign w:val="bottom"/>
          </w:tcPr>
          <w:p>
            <w:pPr>
              <w:spacing w:after="0"/>
              <w:rPr>
                <w:sz w:val="1"/>
                <w:szCs w:val="1"/>
                <w:color w:val="auto"/>
              </w:rPr>
            </w:pPr>
          </w:p>
        </w:tc>
      </w:tr>
      <w:tr>
        <w:trPr>
          <w:trHeight w:val="250"/>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lease liabilities</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424,428</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For the nine month period beginning April 1, 2021.</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LEASES (continued)</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weighted average remaining lease term at March 31, 2021 for operating leases is 4.1 years and the weighted average discount rate used in calculating the operating lease asset and liability is 4.5%. Cash paid for amounts included in the measurement of lease liabilities was $30,846 and $28,316 for the three months ending March 31, 2021 and 2020, respectively. For the three months ended March 31, 2021 and 2020, payments on lease obligations were $35,657 and $34,416, respectively, and amortization on the right of use assets was $29,859 and $28,019,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4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March 31, 2021, in an underwritten primary offering, we issued 1,523,750 shares of our common stock for gross proceeds of</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$75,425,625. In connection with this transaction, we incurred equity issuance costs of $4,754,089 related to payments to the underwriter, advisors and legal fees associated with the transaction, resulting in net proceeds to the Company of $70,671,536.</w:t>
      </w:r>
    </w:p>
    <w:p>
      <w:pPr>
        <w:spacing w:after="0" w:line="18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During the quarters ended March 31, 2021 and 2020, we issued 2,695 and 11,136 shares, respectively, of our common stock to our independent directors in connection with our Director Compensation Plan. These shares were valued at $124,994 and $100,000 at March 31, 2021 and 2020, respectively.</w:t>
      </w:r>
    </w:p>
    <w:p>
      <w:pPr>
        <w:spacing w:after="0" w:line="12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During the quarter ended March 31, 2021, we issued a total of 510,803 shares of our common stock and received total proceeds of $1,120,011 in connection with the exercise of stock options under our 2013 Incentive Plan. A total of 368,329 shares were issued in a cashless transaction related to 394,739 expiring options using the net settled method whereby 26,410 options were used to pay the purchase price. The remaining 116,064 shares issued in connection with the exercise of options were all issued for cash. During the quarter ended March 31, 2020, we issued 35,032 shares of our common stock and received proceeds of $112,152 in connection with the exercise of stock options under our 2013 Incentive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NOTE 5 – SHARE BASED PAYMENTS – OPTIONS AND RESTRICTED STOCK</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use the fair value method to account for stock-based compensation. We recorded $391,318 and $547,828 in compensation expense in the three months ended March 31, 2021 and 2020, respectively, related to options issued under our 2013 Incentive Plan. This includes expense related to options issued in prior years for which the requisite service period for those options includes the current period as well as options issued in the current period. The fair value of these instruments was calculated using the Black-Scholes option pricing model. There is $4,929,984 of remaining expense related to unvested options to be recognized in the future over a weighted average period of 2.6 years. The total intrinsic value of outstanding options at March 31, 2021 was $41,423,990.</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to the grants to Directors described in Note 4, we also recorded $190,841 and $206,684 in compensation expense related to restricted stock awards that vest over time in the three months ended March 31, 2021 and 2020, respectively. There is $2,797,682 of remaining expense related to unvested restricted stock awards to be recognized in the future over a weighted average period of 3.6 years.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NET LOSS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225" w:lineRule="exact"/>
        <w:rPr>
          <w:sz w:val="20"/>
          <w:szCs w:val="20"/>
          <w:color w:val="auto"/>
        </w:rPr>
      </w:pPr>
    </w:p>
    <w:p>
      <w:pPr>
        <w:jc w:val="center"/>
        <w:ind w:left="854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854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Numerator</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86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line="271" w:lineRule="exact"/>
              <w:rPr>
                <w:sz w:val="20"/>
                <w:szCs w:val="20"/>
                <w:color w:val="auto"/>
              </w:rPr>
            </w:pPr>
            <w:r>
              <w:rPr>
                <w:rFonts w:ascii="Arial" w:cs="Arial" w:eastAsia="Arial" w:hAnsi="Arial"/>
                <w:sz w:val="17"/>
                <w:szCs w:val="17"/>
                <w:color w:val="auto"/>
              </w:rPr>
              <w:t>(637,377</w:t>
            </w:r>
            <w:r>
              <w:rPr>
                <w:rFonts w:ascii="Arial" w:cs="Arial" w:eastAsia="Arial" w:hAnsi="Arial"/>
                <w:sz w:val="31"/>
                <w:szCs w:val="31"/>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line="271" w:lineRule="exact"/>
              <w:rPr>
                <w:sz w:val="20"/>
                <w:szCs w:val="20"/>
                <w:color w:val="auto"/>
              </w:rPr>
            </w:pPr>
            <w:r>
              <w:rPr>
                <w:rFonts w:ascii="Arial" w:cs="Arial" w:eastAsia="Arial" w:hAnsi="Arial"/>
                <w:sz w:val="17"/>
                <w:szCs w:val="17"/>
                <w:color w:val="auto"/>
              </w:rPr>
              <w:t>(2,203,931</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Weighted average shares outstanding used in computing net loss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16,101,837</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14,609,499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680" w:type="dxa"/>
            <w:vAlign w:val="bottom"/>
          </w:tcPr>
          <w:p>
            <w:pPr>
              <w:ind w:left="180"/>
              <w:spacing w:after="0"/>
              <w:rPr>
                <w:sz w:val="20"/>
                <w:szCs w:val="20"/>
                <w:color w:val="auto"/>
              </w:rPr>
            </w:pPr>
            <w:r>
              <w:rPr>
                <w:rFonts w:ascii="Arial" w:cs="Arial" w:eastAsia="Arial" w:hAnsi="Arial"/>
                <w:sz w:val="18"/>
                <w:szCs w:val="18"/>
                <w:color w:val="auto"/>
              </w:rPr>
              <w:t>Effect of dilutive stock options, warrants, and stock grants</w:t>
            </w:r>
          </w:p>
        </w:tc>
        <w:tc>
          <w:tcPr>
            <w:tcW w:w="200" w:type="dxa"/>
            <w:vAlign w:val="bottom"/>
          </w:tcPr>
          <w:p>
            <w:pPr>
              <w:spacing w:after="0"/>
              <w:rPr>
                <w:sz w:val="21"/>
                <w:szCs w:val="21"/>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16,101,837</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14,609,499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6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line="271" w:lineRule="exact"/>
              <w:rPr>
                <w:sz w:val="20"/>
                <w:szCs w:val="20"/>
                <w:color w:val="auto"/>
              </w:rPr>
            </w:pPr>
            <w:r>
              <w:rPr>
                <w:rFonts w:ascii="Arial" w:cs="Arial" w:eastAsia="Arial" w:hAnsi="Arial"/>
                <w:sz w:val="17"/>
                <w:szCs w:val="17"/>
                <w:color w:val="auto"/>
              </w:rPr>
              <w:t>(0.04</w:t>
            </w:r>
            <w:r>
              <w:rPr>
                <w:rFonts w:ascii="Arial" w:cs="Arial" w:eastAsia="Arial" w:hAnsi="Arial"/>
                <w:sz w:val="31"/>
                <w:szCs w:val="31"/>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line="271" w:lineRule="exact"/>
              <w:rPr>
                <w:sz w:val="20"/>
                <w:szCs w:val="20"/>
                <w:color w:val="auto"/>
              </w:rPr>
            </w:pPr>
            <w:r>
              <w:rPr>
                <w:rFonts w:ascii="Arial" w:cs="Arial" w:eastAsia="Arial" w:hAnsi="Arial"/>
                <w:sz w:val="17"/>
                <w:szCs w:val="17"/>
                <w:color w:val="auto"/>
              </w:rPr>
              <w:t>(0.15</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20" w:type="dxa"/>
            <w:vAlign w:val="bottom"/>
            <w:vMerge w:val="continue"/>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 calculation of diluted earnings per share is included for 2021 or 2020 as the effect of the calculation would be antidilutive. The number of common shares potentially issuable upon the exercise of certain options that were excluded from the diluted loss per common share calculation in 2021 was 846,441 related to options, and 137,304 related to restricted stock, for a total of 983,745 shares. The number of common shares potentially issuable upon the exercise of certain options that were excluded from the diluted loss per common share calculation in 2020 was 779,670 related to options, and 174,176 related to restricted stock, for a total of 953,846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7 –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currently involved in any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8 –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April 2021, the Company issued 19,664 shares and received proceeds of $167,729 in connection with the exercise of options.</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In accordance with ASC 855-10, we have analyzed our operations subsequent to March 31, 2021 through the date these financial statements were issued and have determined that we do not have any material subsequent events to disclose or recognize in these financial statements.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full extent of the impact of the COVID-19 pandemic on our business, operations and financial results will depend on numerous evolving factors that we may not be able to accurately predict at the present time. In an effort to contain COVID-19 or slow its spread, governments around the world have enacted various measures, including orders to close all businesses not deemed “essential,” isolate residents to their homes or places of residence, and practice social distancing when engaging in essential activities. We anticipate that these actions and the global health crisis caused by COVID-19 will negatively impact business activity across the globe. While we have not observed any noticeable impact on our revenue related to these conditions in the recently completed fiscal year or quarter, or through the date of this filing, we cannot estimate the impact COVID-19 will have in the future if business and consumer activity decelerates across the globe.</w:t>
      </w:r>
    </w:p>
    <w:p>
      <w:pPr>
        <w:spacing w:after="0" w:line="19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March 2020, we enacted precautionary measures to protect the health and safety of our employees and partners. These measures include closing all offices, having employees work from home, and eliminating virtually all travel. While having employees work from home may have a negative impact on efficiency and may result in negligible increases in costs, it does not impact our ability to execute on our contracts or deliver our core services. Our offices remain closed and we continue to prohibit travel through the date of this filing and expect to continue operating in this fashion for the foreseeable future. Our customers provide essential services in the healthcare industry and we believe that our digital communication technology is more important than ever in this environment. However, our revenue often comes from advertising or marketing budgets, and in a sustained economic downturn, those categories of spending may be cut.</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continue to actively monitor the situation and may take further actions that alter our business operations as may be required by federal, state, local or foreign authorities, or that we determine are in the best interests of our employees, customers, partners and stockholders. It is not clear what the potential effects any such alterations or modifications may have on our business, including the effects on our customers, partners, or vendors, or on our financial results.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Company Highlights through April 2021</w:t>
      </w:r>
    </w:p>
    <w:p>
      <w:pPr>
        <w:spacing w:after="0" w:line="225"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Generated sales of $11.2 million for the first three months of 2021, a 48% increase over the same period in 2020.</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Achieved positive cash flow from operations of $1.7 million.</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Raised an additional $70.7 million of capital in a public offering.</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Secured new enterprise-level deals for 2021 that provide access to the company’s full suite of solutions and nationwide digital healthcare platform.</w:t>
      </w:r>
    </w:p>
    <w:p>
      <w:pPr>
        <w:spacing w:after="0" w:line="32" w:lineRule="exact"/>
        <w:rPr>
          <w:rFonts w:ascii="Arial" w:cs="Arial" w:eastAsia="Arial" w:hAnsi="Arial"/>
          <w:sz w:val="16"/>
          <w:szCs w:val="16"/>
          <w:color w:val="auto"/>
        </w:rPr>
      </w:pPr>
    </w:p>
    <w:p>
      <w:pPr>
        <w:ind w:left="580" w:right="340" w:hanging="572"/>
        <w:spacing w:after="0" w:line="250"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Enhanced our leadership team by adding a General Counsel and Chief Compliance Officer as well as elevated the Chief Technology Officer to report directly to the CEO.</w:t>
      </w:r>
    </w:p>
    <w:p>
      <w:pPr>
        <w:ind w:left="580" w:hanging="572"/>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Secured multiple new channel partnerships outside of electronic health record companies for additional reach to oncologists and other specialties.</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Committed to an inclusion and diversity pledge.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Enhanced our patient engagement commercial team to further scale that portion of the business.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Consolidated our technology centers of excellence in Zagreb, Croatia.</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all integration work for previous two acquisitions and paid last earnout payment related to acquisitions.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Maintained a no travel, virtual operational plan with a particular focus on training, open communication, and great work culture.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2021 and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Our total revenue reported for the three months ended March 31, 2021 was approximately $11.2 million, an increase of 48% over the approximately $7.6 million from the same period in 2020. The increased revenue resulted from increases in sales in all our messaging products.</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expect that our revenues will continue to grow for the balance of 2021 as a result of the new enterprise clients we secured in the first quarter of the year as well as those we expect to pick up for the remainder of the year. In addition, we believe that the foundations we laid in 2019 and 2020, including the noted shift to enterprise contracts, increased pharmaceutical brands, an increased distribution network, and strong growth in our messaging solutions will result in steady growth throughout the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cost of revenue percentage, composed primarily of revenue share expense, increased as a percentage of revenues, from approximately 43% in the quarter ended March 31, 2020 to approximately 45% for the quarter ended March 31, 2021. This increase was a result of solution mix, both as it relates to solutions and the partners through which the messages are delivered. We expect our cost of revenues to decrease for future quarters as revenues from new solutions with higher margins increase as a percentage of our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gross margin declined from 57% in the quarter ended March 31, 2020 to 55% in the quarter ended March 31, 2021. As discussed under cost of revenues above, this is a result of solution mix. Our gross margin for the entire calendar year of 2020 was 56% and our target for the full year of 2021 is 58%. We expect our gross margin to improve on a quarter over quarter basis for the balance of the year as we launch new solutions that have higher margins.</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expenses increased from approximately $6.6 million for the three months ended March 31, 2020 to approximately $6.8 million for the same period in 2021, an increase of approximately 2.5%. Overall, this increase results from our efforts to expand our product line and build out our organization to establish a strong base for current and future growth. Our expenses increased at a substantially lower rate than our revenues as a result of the operating leverage of our model. The detail of expenditures by major category is reflected in the table below.</w:t>
      </w:r>
    </w:p>
    <w:p>
      <w:pPr>
        <w:spacing w:after="0" w:line="187" w:lineRule="exact"/>
        <w:rPr>
          <w:sz w:val="20"/>
          <w:szCs w:val="20"/>
          <w:color w:val="auto"/>
        </w:rPr>
      </w:pPr>
    </w:p>
    <w:p>
      <w:pPr>
        <w:jc w:val="center"/>
        <w:ind w:left="854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854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Salaries, Wages, &amp; Benefits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3,580,817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3,206,137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707,153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854,512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Contractors and Consultants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299,376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485,225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Travel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9,830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274,511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Board Compensation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61,250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51,375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321,220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485,469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Investor Relations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46,287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19,450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128,885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134,887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Technology Infrastructure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213,279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157,749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Integration and Exclusivity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318,558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207,973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Data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287,912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51,612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262,169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153,522</w:t>
            </w: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526,180</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519,669</w:t>
            </w: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color w:val="auto"/>
              </w:rPr>
              <w:t>Total Operating Expense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8680" w:type="dxa"/>
            <w:vAlign w:val="bottom"/>
            <w:vMerge w:val="continue"/>
          </w:tcPr>
          <w:p>
            <w:pPr>
              <w:spacing w:after="0"/>
              <w:rPr>
                <w:sz w:val="24"/>
                <w:szCs w:val="24"/>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6,762,916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6,602,091</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increase in operating expenses related to salaries, wages, and benefits and other human resource related costs is due to the expansion of our team to support additional growth. This increase is partly offset by the decrease in contractors and consultants, as we have brought functions in house that were previously performed by outsiders.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expect salaries, wages, and benefits to increase on a quarter over quarter basis for the balance of the year due to the full impact of new hires during the first quarter as well as new hires in the pipeline.</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decreased stock-based compensation results from the lengthening of vesting periods for new grants. The majority of new grants now vest over three years or longer, as opposed to 1 year in previous years.</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Travel expense is down significantly as a result of travel restrictions due to the pandemic. We expect travel expense to increase significantly starting in the third quarter of the year due to expected relaxed travel restrictions related to the COVID-19 pandemic as increasing percentages of the population are vaccinated.</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Professional fees decreased in 2021 primarily as a result of our change in auditors, as well as the change in SEC rules that eliminated the need for a third-party opinion on our internal controls.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 expense increased due to the expansion of our communication efforts to reach retail investors and expand our shareholder base.</w:t>
      </w: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Technology infrastructure costs increased due to continued investment in our operating systems to facilitate new products as well as the implementation of additional software products to increase efficiency and information dissemination.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Data costs increased as we have purchased more data, primarily to aid in our selling effort and allow customers to target their messages more appropriately, thereby increasing our ability to charge premium prices for more highly targeted messages.</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4" w:name="page15"/>
    <w:bookmarkEnd w:id="14"/>
    <w:p>
      <w:pPr>
        <w:ind w:right="20"/>
        <w:spacing w:after="0" w:line="263" w:lineRule="auto"/>
        <w:rPr>
          <w:sz w:val="20"/>
          <w:szCs w:val="20"/>
          <w:color w:val="auto"/>
        </w:rPr>
      </w:pPr>
      <w:r>
        <w:rPr>
          <w:rFonts w:ascii="Arial" w:cs="Arial" w:eastAsia="Arial" w:hAnsi="Arial"/>
          <w:sz w:val="18"/>
          <w:szCs w:val="18"/>
          <w:color w:val="auto"/>
        </w:rPr>
        <w:t>Integration and exclusivity costs represent payments to partners for access and/or exclusivity and increased because of new agreements signed after the first quarter of 2020. These payments are usually made in lump sums and expensed over the term of the contracts. These expenses are an important part of our ability to expand our network.</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office, facility and other expense increased primarily because of increased activity. The largest single increase related to hiring expenses associated with expanding our team, both for new additions in the first quarter, as well as new hires scheduled for the second quarter including recruiter fees in some instances. Other expenses related to higher short-term costs from employees working remotely, rather than in office settings, as well as hiring cost related to new team members.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other variances in the table above are the result of normal fluctuations in activity.</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expect our overall operating expenses to increase from the first quarter of 2021 level as we further implement our business plan and expand our operations to grow the business in a very dynamic and active marketplace. However, we have established a strong team as a base to support growth and we are seeing the results of the investment in our team last year in our strong revenue growth this year. We do not expect human resource costs to increase as quickly as revenues, however we do expect to continue to add people to accelerate our growth and invest in future growth.</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had a net loss of approximately $600,000 for the three months ended March 31, 2021, as compared to a net loss of approximately $2.2 million during the same period in 2020. The reasons and specific components associated with the change are discussed above. Overall, the decreased loss resulted from an increased margin generated by our higher revenues, partially offset by the increased operating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March 31, 2021, we had total current assets of approximately $100 million, compared with current liabilities of approximately $5 million, resulting in working capital of approximately $95 million and a current ratio of approximately 19 to 1. This represents an increase from our working capital of approximately $23 million and current ratio of 3 to 1 at December 31, 2020.</w:t>
      </w:r>
    </w:p>
    <w:p>
      <w:pPr>
        <w:spacing w:after="0" w:line="18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operating activities provided approximately $1.7 in cash flow during the three months ended March 31, 2021, compared with cash used of approximately $3.7 million in the same period in 2020. The cash provided in the 2021 period was the result of our net loss increased by noncash expenses, as well as working capital generated by the collection of receivables. The cash used in the 2020 period was primarily the result of increased investment in working capital; in particular, we made a $2.0 million prepayment to a partner that was expensed over the balance of the year.</w:t>
      </w:r>
    </w:p>
    <w:p>
      <w:pPr>
        <w:spacing w:after="0" w:line="15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used insignificant amounts in investing activities in both the three months ended March 31, 2021 and 2020. These investments related to purchases of equipment as well as investments related to the expansion of our network capabilities in our patient engagement solution.</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financing activities provided $70 million in the three months ended March 31, 2021, compared with cash provided of approximately $112,000 in the same period in 2020. We raised $70.7 million in a public offering of our common stock as well as generated $1.1 million from the issuance of shares related to the exercise of stock options. These were partially offset by the payment of $1.6 in earnout payments from a previous acquisition. We have no remaining earnout payments due in the future. We had proceeds from financing activities of approximately $112,000 related to the exercise of stock options during the three months ended March 31, 2020.</w:t>
      </w:r>
    </w:p>
    <w:p>
      <w:pPr>
        <w:spacing w:after="0" w:line="188"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We do not anticipate the need to raise additional capital in the short or long term for operating purposes or to fund our growth plans. We are focused on growing our revenue, channel and partner network. However, as a company in a market that is active with merger and acquisition activity, we may have opportunities, such as for acquisitions or strategic partner relationships, which may require additional capital. We will assess these opportunities as they arise with the view of maximizing shareholder value.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2020; however, we consider our critical accounting policies to be those related to revenue recognition, calculation of revenue share expense (cost of revenues), stock-based compensation, capitalization and related amortization of intangible assets and impairment of assets.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ASU 2019-12 is intended to improve consistent application and simplify the accounting for income taxes. ASU 2019-12 removes certain exceptions to the general principles in Topic 740 and clarifies and amends existing guidance. ASU 2019-12 was effective for annual and interim reporting periods beginning after December 12, 2020, with early adoption permitted. The adoption of this standard did not have a material effect on our financial position, results of operations, or cash flows.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there were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required to provide the information required by this Item.</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of the end of the period covered by this report (the “Evaluation Date”). Based upon this evaluation, our Chief Executive Officer and Chief Financial Officer concluded as of the Evaluation Date that our disclosure controls and procedures were effective such that the material information required to be included in our SEC reports is recorded, processed, summarized, and reported within the time periods specified in SEC rules and forms relating to our company, including, our consolidated subsidiaries, and was made known to them by others within those entities, particularly during the period when this report was being prepared.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quarter ended March 31, 2021, we made routine ongoing improvements in our internal control and processes and hired an additional finance department team member, however, no material changes were made during the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our company have been detected.</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are not a party to any material pending legal proceeding. We are not aware of any pending legal proceeding to which any of our officers, directors, or any beneficial holders of 5% or more of our voting securities are adverse to us or have a material interest adverse to 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included in our Annual Report on Form 10-K for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 March 2021, we issued 2,695 shares of restricted common stock to our independent directors in connection with our Director Compensation Plan. We also issued a total 510,803 shares of stock in connection with the exercise of options during the quarter ended March 31, 2021.</w:t>
      </w:r>
    </w:p>
    <w:p>
      <w:pPr>
        <w:spacing w:after="0" w:line="14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 in instances where a restrictive legend was required.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00" w:type="dxa"/>
            <w:vAlign w:val="bottom"/>
            <w:gridSpan w:val="5"/>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76"/>
        </w:trPr>
        <w:tc>
          <w:tcPr>
            <w:tcW w:w="10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10040" w:type="dxa"/>
            <w:vAlign w:val="bottom"/>
            <w:tcBorders>
              <w:top w:val="single" w:sz="8" w:color="auto"/>
              <w:bottom w:val="single" w:sz="8" w:color="0000EE"/>
            </w:tcBorders>
            <w:gridSpan w:val="4"/>
          </w:tcPr>
          <w:p>
            <w:pPr>
              <w:spacing w:after="0" w:line="17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Certification of Chief Executive Officer pursuant to 18 U.S.C. Section 1350, as adopted pursuant to Section 302 of the Sarbanes-Oxley Act</w:t>
              </w:r>
            </w:hyperlink>
          </w:p>
        </w:tc>
        <w:tc>
          <w:tcPr>
            <w:tcW w:w="60" w:type="dxa"/>
            <w:vAlign w:val="bottom"/>
            <w:tcBorders>
              <w:top w:val="single" w:sz="8" w:color="auto"/>
            </w:tcBorders>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of 2002</w:t>
              </w:r>
            </w:hyperlink>
          </w:p>
        </w:tc>
        <w:tc>
          <w:tcPr>
            <w:tcW w:w="9540" w:type="dxa"/>
            <w:vAlign w:val="bottom"/>
            <w:gridSpan w:val="4"/>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7"/>
                <w:szCs w:val="17"/>
                <w:color w:val="auto"/>
              </w:rPr>
            </w:pPr>
          </w:p>
        </w:tc>
        <w:tc>
          <w:tcPr>
            <w:tcW w:w="10100" w:type="dxa"/>
            <w:vAlign w:val="bottom"/>
            <w:gridSpan w:val="5"/>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Certification of Chief Financial Officer pursuant to 18 U.S.C. Section 1350, as adopted pursuant to Section 302 of the Sarbanes-Oxley Act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of 2002</w:t>
              </w:r>
            </w:hyperlink>
          </w:p>
        </w:tc>
        <w:tc>
          <w:tcPr>
            <w:tcW w:w="9420" w:type="dxa"/>
            <w:vAlign w:val="bottom"/>
            <w:tcBorders>
              <w:top w:val="single" w:sz="8" w:color="0000EE"/>
            </w:tcBorders>
            <w:gridSpan w:val="2"/>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101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Certification of Chief Executive Officer and Chief Financial Officer pursuant to 18 U.S.C. Section 1350, as adopted pursuant to Section 906</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of the Sarbanes-Oxley Act of 2002</w:t>
              </w:r>
            </w:hyperlink>
          </w:p>
        </w:tc>
        <w:tc>
          <w:tcPr>
            <w:tcW w:w="7580" w:type="dxa"/>
            <w:vAlign w:val="bottom"/>
            <w:gridSpan w:val="3"/>
          </w:tcPr>
          <w:p>
            <w:pPr>
              <w:spacing w:after="0"/>
              <w:rPr>
                <w:sz w:val="17"/>
                <w:szCs w:val="17"/>
                <w:color w:val="auto"/>
              </w:rPr>
            </w:pPr>
          </w:p>
        </w:tc>
      </w:t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w w:val="91"/>
              </w:rPr>
              <w:t>The following materials from the Company’s Quarterly Report on Form 10-Q for the quarter ended March 31, 2021 formatted in Extensible</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Business Reporting Language (XBRL).</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Provided herewith</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40" w:type="dxa"/>
            <w:vAlign w:val="bottom"/>
            <w:gridSpan w:val="2"/>
          </w:tcPr>
          <w:p>
            <w:pPr>
              <w:ind w:left="67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Date: May 6, 2021</w:t>
            </w:r>
          </w:p>
        </w:tc>
        <w:tc>
          <w:tcPr>
            <w:tcW w:w="3920" w:type="dxa"/>
            <w:vAlign w:val="bottom"/>
          </w:tcPr>
          <w:p>
            <w:pPr>
              <w:spacing w:after="0"/>
              <w:rPr>
                <w:sz w:val="18"/>
                <w:szCs w:val="18"/>
                <w:color w:val="auto"/>
              </w:rPr>
            </w:pPr>
          </w:p>
        </w:tc>
      </w:tr>
      <w:tr>
        <w:trPr>
          <w:trHeight w:val="237"/>
        </w:trPr>
        <w:tc>
          <w:tcPr>
            <w:tcW w:w="7320" w:type="dxa"/>
            <w:vAlign w:val="bottom"/>
          </w:tcPr>
          <w:p>
            <w:pPr>
              <w:ind w:left="6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198"/>
        </w:trPr>
        <w:tc>
          <w:tcPr>
            <w:tcW w:w="732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Arial" w:cs="Arial" w:eastAsia="Arial" w:hAnsi="Arial"/>
                <w:sz w:val="18"/>
                <w:szCs w:val="18"/>
                <w:color w:val="auto"/>
              </w:rPr>
              <w:t>William J. Febbo</w:t>
            </w:r>
          </w:p>
        </w:tc>
      </w:tr>
      <w:tr>
        <w:trPr>
          <w:trHeight w:val="216"/>
        </w:trPr>
        <w:tc>
          <w:tcPr>
            <w:tcW w:w="7320" w:type="dxa"/>
            <w:vAlign w:val="bottom"/>
          </w:tcPr>
          <w:p>
            <w:pPr>
              <w:ind w:left="6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Executive Officer, and Director</w:t>
            </w:r>
          </w:p>
        </w:tc>
      </w:tr>
      <w:tr>
        <w:trPr>
          <w:trHeight w:val="418"/>
        </w:trPr>
        <w:tc>
          <w:tcPr>
            <w:tcW w:w="11240" w:type="dxa"/>
            <w:vAlign w:val="bottom"/>
            <w:gridSpan w:val="2"/>
          </w:tcPr>
          <w:p>
            <w:pPr>
              <w:ind w:left="67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Date: May 6, 2021</w:t>
            </w:r>
          </w:p>
        </w:tc>
        <w:tc>
          <w:tcPr>
            <w:tcW w:w="3920" w:type="dxa"/>
            <w:vAlign w:val="bottom"/>
          </w:tcPr>
          <w:p>
            <w:pPr>
              <w:spacing w:after="0"/>
              <w:rPr>
                <w:sz w:val="18"/>
                <w:szCs w:val="18"/>
                <w:color w:val="auto"/>
              </w:rPr>
            </w:pPr>
          </w:p>
        </w:tc>
      </w:tr>
      <w:tr>
        <w:trPr>
          <w:trHeight w:val="237"/>
        </w:trPr>
        <w:tc>
          <w:tcPr>
            <w:tcW w:w="7320" w:type="dxa"/>
            <w:vAlign w:val="bottom"/>
          </w:tcPr>
          <w:p>
            <w:pPr>
              <w:ind w:left="6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r>
      <w:tr>
        <w:trPr>
          <w:trHeight w:val="198"/>
        </w:trPr>
        <w:tc>
          <w:tcPr>
            <w:tcW w:w="732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Arial" w:cs="Arial" w:eastAsia="Arial" w:hAnsi="Arial"/>
                <w:sz w:val="18"/>
                <w:szCs w:val="18"/>
                <w:color w:val="auto"/>
              </w:rPr>
              <w:t>Douglas P. Baker</w:t>
            </w:r>
          </w:p>
        </w:tc>
      </w:tr>
      <w:tr>
        <w:trPr>
          <w:trHeight w:val="216"/>
        </w:trPr>
        <w:tc>
          <w:tcPr>
            <w:tcW w:w="7320" w:type="dxa"/>
            <w:vAlign w:val="bottom"/>
          </w:tcPr>
          <w:p>
            <w:pPr>
              <w:ind w:left="6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r>
      <w:tr>
        <w:trPr>
          <w:trHeight w:val="216"/>
        </w:trPr>
        <w:tc>
          <w:tcPr>
            <w:tcW w:w="73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Financial Officer and</w:t>
            </w:r>
          </w:p>
        </w:tc>
      </w:tr>
      <w:tr>
        <w:trPr>
          <w:trHeight w:val="234"/>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Accounting Officer</w:t>
            </w:r>
          </w:p>
        </w:tc>
      </w:tr>
      <w:tr>
        <w:trPr>
          <w:trHeight w:val="439"/>
        </w:trPr>
        <w:tc>
          <w:tcPr>
            <w:tcW w:w="732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17</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Febbo, certify that;</w:t>
      </w:r>
    </w:p>
    <w:p>
      <w:pPr>
        <w:spacing w:after="0" w:line="22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2021 of OptimizeRx Corp (the “registrant”);</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J.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William J. Febbo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color w:val="auto"/>
        </w:rPr>
        <w:t>Exhibit 31.2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I, Douglas P. Baker, certify that;</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2021 of OptimizeRx Corp (the “registrant”);</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P.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Douglas P.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OptimizeRx Corp (the “Company”) on Form 10-Q for the quarter ended March 31, 2021 filed with the Securities and Exchange Commission (the “Report”), I, Will Febbo, Chief Executive Officer and I, Douglas Baker, Chief Financial Officer of the Company, certify, pursuant to 18 U.S.C. Section 1350, as adopted pursuant to Section 906 of the Sarbanes-Oxley Act of 2002, that:</w:t>
      </w:r>
    </w:p>
    <w:p>
      <w:pPr>
        <w:spacing w:after="0" w:line="18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2960" w:type="dxa"/>
            <w:vAlign w:val="bottom"/>
            <w:gridSpan w:val="3"/>
          </w:tcPr>
          <w:p>
            <w:pPr>
              <w:spacing w:after="0"/>
              <w:rPr>
                <w:sz w:val="20"/>
                <w:szCs w:val="20"/>
                <w:color w:val="auto"/>
              </w:rPr>
            </w:pPr>
            <w:r>
              <w:rPr>
                <w:rFonts w:ascii="Arial" w:cs="Arial" w:eastAsia="Arial" w:hAnsi="Arial"/>
                <w:sz w:val="18"/>
                <w:szCs w:val="18"/>
                <w:color w:val="auto"/>
              </w:rPr>
              <w:t>/s/ William J Febbo</w:t>
            </w:r>
          </w:p>
        </w:tc>
      </w:t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Name:</w:t>
            </w: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Willian J Febbo</w:t>
            </w:r>
          </w:p>
        </w:tc>
        <w:tc>
          <w:tcPr>
            <w:tcW w:w="1560" w:type="dxa"/>
            <w:vAlign w:val="bottom"/>
            <w:gridSpan w:val="2"/>
          </w:tcPr>
          <w:p>
            <w:pPr>
              <w:spacing w:after="0"/>
              <w:rPr>
                <w:sz w:val="19"/>
                <w:szCs w:val="19"/>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2960" w:type="dxa"/>
            <w:vAlign w:val="bottom"/>
            <w:gridSpan w:val="3"/>
          </w:tcPr>
          <w:p>
            <w:pPr>
              <w:spacing w:after="0"/>
              <w:rPr>
                <w:sz w:val="20"/>
                <w:szCs w:val="20"/>
                <w:color w:val="auto"/>
              </w:rPr>
            </w:pPr>
            <w:r>
              <w:rPr>
                <w:rFonts w:ascii="Arial" w:cs="Arial" w:eastAsia="Arial" w:hAnsi="Arial"/>
                <w:sz w:val="18"/>
                <w:szCs w:val="18"/>
                <w:color w:val="auto"/>
                <w:w w:val="92"/>
              </w:rPr>
              <w:t>Principal Executive Officer, and Director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Date:</w:t>
            </w:r>
          </w:p>
        </w:tc>
        <w:tc>
          <w:tcPr>
            <w:tcW w:w="2960" w:type="dxa"/>
            <w:vAlign w:val="bottom"/>
            <w:gridSpan w:val="3"/>
          </w:tcPr>
          <w:p>
            <w:pPr>
              <w:spacing w:after="0"/>
              <w:rPr>
                <w:sz w:val="20"/>
                <w:szCs w:val="20"/>
                <w:color w:val="auto"/>
              </w:rPr>
            </w:pPr>
            <w:r>
              <w:rPr>
                <w:rFonts w:ascii="Arial" w:cs="Arial" w:eastAsia="Arial" w:hAnsi="Arial"/>
                <w:sz w:val="18"/>
                <w:szCs w:val="18"/>
                <w:color w:val="auto"/>
              </w:rPr>
              <w:t>May 6, 2021</w:t>
            </w:r>
          </w:p>
        </w:tc>
      </w:tr>
      <w:tr>
        <w:trPr>
          <w:trHeight w:val="392"/>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/s/ Douglas P. Baker</w:t>
            </w:r>
          </w:p>
        </w:tc>
        <w:tc>
          <w:tcPr>
            <w:tcW w:w="1500" w:type="dxa"/>
            <w:vAlign w:val="bottom"/>
          </w:tcPr>
          <w:p>
            <w:pPr>
              <w:spacing w:after="0"/>
              <w:rPr>
                <w:sz w:val="24"/>
                <w:szCs w:val="24"/>
                <w:color w:val="auto"/>
              </w:rPr>
            </w:pPr>
          </w:p>
        </w:tc>
      </w:t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Name:</w:t>
            </w:r>
          </w:p>
        </w:tc>
        <w:tc>
          <w:tcPr>
            <w:tcW w:w="2960" w:type="dxa"/>
            <w:vAlign w:val="bottom"/>
            <w:gridSpan w:val="3"/>
          </w:tcPr>
          <w:p>
            <w:pPr>
              <w:spacing w:after="0"/>
              <w:rPr>
                <w:sz w:val="20"/>
                <w:szCs w:val="20"/>
                <w:color w:val="auto"/>
              </w:rPr>
            </w:pPr>
            <w:r>
              <w:rPr>
                <w:rFonts w:ascii="Arial" w:cs="Arial" w:eastAsia="Arial" w:hAnsi="Arial"/>
                <w:sz w:val="18"/>
                <w:szCs w:val="18"/>
                <w:color w:val="auto"/>
              </w:rPr>
              <w:t>Douglas P. Baker</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2960" w:type="dxa"/>
            <w:vAlign w:val="bottom"/>
            <w:gridSpan w:val="3"/>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Date:</w:t>
            </w:r>
          </w:p>
        </w:tc>
        <w:tc>
          <w:tcPr>
            <w:tcW w:w="2960" w:type="dxa"/>
            <w:vAlign w:val="bottom"/>
            <w:gridSpan w:val="3"/>
          </w:tcPr>
          <w:p>
            <w:pPr>
              <w:spacing w:after="0"/>
              <w:rPr>
                <w:sz w:val="20"/>
                <w:szCs w:val="20"/>
                <w:color w:val="auto"/>
              </w:rPr>
            </w:pPr>
            <w:r>
              <w:rPr>
                <w:rFonts w:ascii="Arial" w:cs="Arial" w:eastAsia="Arial" w:hAnsi="Arial"/>
                <w:sz w:val="18"/>
                <w:szCs w:val="18"/>
                <w:color w:val="auto"/>
              </w:rPr>
              <w:t>May 6, 2021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2021-05-06T15:32:14Z</dcterms:created>
  <dcterms:modified xsi:type="dcterms:W3CDTF">2021-05-06T15:32:14Z</dcterms:modified>
</cp:coreProperties>
</file>