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62" w:lineRule="exact"/>
        <w:rPr>
          <w:sz w:val="24"/>
          <w:szCs w:val="24"/>
          <w:color w:val="auto"/>
        </w:rPr>
      </w:pPr>
    </w:p>
    <w:p>
      <w:pPr>
        <w:jc w:val="center"/>
        <w:ind w:left="3980" w:right="1640" w:hanging="2340"/>
        <w:spacing w:after="0" w:line="403" w:lineRule="auto"/>
        <w:tabs>
          <w:tab w:leader="none" w:pos="183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2019</w:t>
      </w:r>
    </w:p>
    <w:p>
      <w:pPr>
        <w:spacing w:after="0" w:line="33" w:lineRule="exact"/>
        <w:rPr>
          <w:rFonts w:ascii="MS PGothic" w:cs="MS PGothic" w:eastAsia="MS PGothic" w:hAnsi="MS PGothic"/>
          <w:sz w:val="18"/>
          <w:szCs w:val="18"/>
          <w:color w:val="auto"/>
        </w:rPr>
      </w:pPr>
    </w:p>
    <w:p>
      <w:pPr>
        <w:jc w:val="center"/>
        <w:ind w:left="3660" w:right="1480" w:hanging="2180"/>
        <w:spacing w:after="0" w:line="420"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001-38543</w:t>
      </w:r>
    </w:p>
    <w:p>
      <w:pPr>
        <w:spacing w:after="0" w:line="15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0"/>
              </w:rPr>
              <w:t>Nevada</w:t>
            </w:r>
          </w:p>
        </w:tc>
        <w:tc>
          <w:tcPr>
            <w:tcW w:w="3680" w:type="dxa"/>
            <w:vAlign w:val="bottom"/>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5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jc w:val="center"/>
              <w:ind w:right="17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560" w:type="dxa"/>
            <w:vAlign w:val="bottom"/>
            <w:gridSpan w:val="3"/>
          </w:tcPr>
          <w:p>
            <w:pPr>
              <w:jc w:val="center"/>
              <w:ind w:right="204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400 Water Street, Ste. 200</w:t>
            </w:r>
          </w:p>
        </w:tc>
        <w:tc>
          <w:tcPr>
            <w:tcW w:w="3680" w:type="dxa"/>
            <w:vAlign w:val="bottom"/>
          </w:tcPr>
          <w:p>
            <w:pPr>
              <w:spacing w:after="0"/>
              <w:rPr>
                <w:sz w:val="24"/>
                <w:szCs w:val="24"/>
                <w:color w:val="auto"/>
              </w:rPr>
            </w:pPr>
          </w:p>
        </w:tc>
      </w:tr>
      <w:tr>
        <w:trPr>
          <w:trHeight w:val="241"/>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Rochester, MI</w:t>
            </w:r>
          </w:p>
        </w:tc>
        <w:tc>
          <w:tcPr>
            <w:tcW w:w="368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3680" w:type="dxa"/>
            <w:vAlign w:val="bottom"/>
            <w:tcBorders>
              <w:top w:val="single" w:sz="8" w:color="auto"/>
            </w:tcBorders>
          </w:tcPr>
          <w:p>
            <w:pPr>
              <w:jc w:val="center"/>
              <w:ind w:right="1730"/>
              <w:spacing w:after="0"/>
              <w:rPr>
                <w:sz w:val="20"/>
                <w:szCs w:val="20"/>
                <w:color w:val="auto"/>
              </w:rPr>
            </w:pPr>
            <w:r>
              <w:rPr>
                <w:rFonts w:ascii="Arial" w:cs="Arial" w:eastAsia="Arial" w:hAnsi="Arial"/>
                <w:sz w:val="18"/>
                <w:szCs w:val="18"/>
                <w:color w:val="auto"/>
                <w:w w:val="91"/>
              </w:rPr>
              <w:t>(Zip Code)</w:t>
            </w:r>
          </w:p>
        </w:tc>
      </w:tr>
      <w:tr>
        <w:trPr>
          <w:trHeight w:val="350"/>
        </w:trPr>
        <w:tc>
          <w:tcPr>
            <w:tcW w:w="7560" w:type="dxa"/>
            <w:vAlign w:val="bottom"/>
            <w:gridSpan w:val="3"/>
          </w:tcPr>
          <w:p>
            <w:pPr>
              <w:ind w:left="3960"/>
              <w:spacing w:after="0"/>
              <w:rPr>
                <w:sz w:val="20"/>
                <w:szCs w:val="20"/>
                <w:color w:val="auto"/>
              </w:rPr>
            </w:pPr>
            <w:r>
              <w:rPr>
                <w:rFonts w:ascii="Arial" w:cs="Arial" w:eastAsia="Arial" w:hAnsi="Arial"/>
                <w:sz w:val="18"/>
                <w:szCs w:val="18"/>
                <w:color w:val="auto"/>
                <w:w w:val="97"/>
              </w:rPr>
              <w:t xml:space="preserve">Registrant’s telephone number: </w:t>
            </w:r>
            <w:r>
              <w:rPr>
                <w:rFonts w:ascii="Arial" w:cs="Arial" w:eastAsia="Arial" w:hAnsi="Arial"/>
                <w:sz w:val="18"/>
                <w:szCs w:val="18"/>
                <w:b w:val="1"/>
                <w:bCs w:val="1"/>
                <w:color w:val="auto"/>
                <w:w w:val="97"/>
              </w:rPr>
              <w:t>248-651-6568</w:t>
            </w:r>
          </w:p>
        </w:tc>
        <w:tc>
          <w:tcPr>
            <w:tcW w:w="3680" w:type="dxa"/>
            <w:vAlign w:val="bottom"/>
          </w:tcPr>
          <w:p>
            <w:pPr>
              <w:spacing w:after="0"/>
              <w:rPr>
                <w:sz w:val="24"/>
                <w:szCs w:val="24"/>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1560" w:type="dxa"/>
            <w:vAlign w:val="bottom"/>
          </w:tcPr>
          <w:p>
            <w:pPr>
              <w:spacing w:after="0"/>
              <w:rPr>
                <w:sz w:val="20"/>
                <w:szCs w:val="20"/>
                <w:color w:val="auto"/>
              </w:rPr>
            </w:pPr>
          </w:p>
        </w:tc>
        <w:tc>
          <w:tcPr>
            <w:tcW w:w="4180" w:type="dxa"/>
            <w:vAlign w:val="bottom"/>
            <w:gridSpan w:val="3"/>
          </w:tcPr>
          <w:p>
            <w:pPr>
              <w:jc w:val="center"/>
              <w:ind w:right="1640"/>
              <w:spacing w:after="0"/>
              <w:rPr>
                <w:sz w:val="20"/>
                <w:szCs w:val="20"/>
                <w:color w:val="auto"/>
              </w:rPr>
            </w:pPr>
            <w:r>
              <w:rPr>
                <w:rFonts w:ascii="Arial" w:cs="Arial" w:eastAsia="Arial" w:hAnsi="Arial"/>
                <w:sz w:val="18"/>
                <w:szCs w:val="18"/>
                <w:color w:val="auto"/>
                <w:w w:val="90"/>
              </w:rPr>
              <w:t>Title of each class</w:t>
            </w:r>
          </w:p>
        </w:tc>
        <w:tc>
          <w:tcPr>
            <w:tcW w:w="550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1560" w:type="dxa"/>
            <w:vAlign w:val="bottom"/>
            <w:tcBorders>
              <w:top w:val="single" w:sz="8" w:color="auto"/>
            </w:tcBorders>
            <w:shd w:val="clear" w:color="auto" w:fill="CCEEFF"/>
          </w:tcPr>
          <w:p>
            <w:pPr>
              <w:spacing w:after="0"/>
              <w:rPr>
                <w:sz w:val="15"/>
                <w:szCs w:val="15"/>
                <w:color w:val="auto"/>
              </w:rPr>
            </w:pPr>
          </w:p>
        </w:tc>
        <w:tc>
          <w:tcPr>
            <w:tcW w:w="4080" w:type="dxa"/>
            <w:vAlign w:val="bottom"/>
            <w:tcBorders>
              <w:top w:val="single" w:sz="8" w:color="auto"/>
            </w:tcBorders>
            <w:gridSpan w:val="2"/>
            <w:shd w:val="clear" w:color="auto" w:fill="CCEEFF"/>
          </w:tcPr>
          <w:p>
            <w:pPr>
              <w:jc w:val="center"/>
              <w:ind w:right="1540"/>
              <w:spacing w:after="0" w:line="176" w:lineRule="exact"/>
              <w:rPr>
                <w:sz w:val="20"/>
                <w:szCs w:val="20"/>
                <w:color w:val="auto"/>
              </w:rPr>
            </w:pPr>
            <w:r>
              <w:rPr>
                <w:rFonts w:ascii="Arial" w:cs="Arial" w:eastAsia="Arial" w:hAnsi="Arial"/>
                <w:sz w:val="18"/>
                <w:szCs w:val="18"/>
                <w:b w:val="1"/>
                <w:bCs w:val="1"/>
                <w:color w:val="auto"/>
                <w:w w:val="90"/>
              </w:rPr>
              <w:t xml:space="preserve">Common Stock, par value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0.001</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spacing w:after="0"/>
              <w:rPr>
                <w:sz w:val="15"/>
                <w:szCs w:val="15"/>
                <w:color w:val="auto"/>
              </w:rPr>
            </w:pPr>
          </w:p>
        </w:tc>
        <w:tc>
          <w:tcPr>
            <w:tcW w:w="3660" w:type="dxa"/>
            <w:vAlign w:val="bottom"/>
            <w:tcBorders>
              <w:top w:val="single" w:sz="8" w:color="auto"/>
            </w:tcBorders>
            <w:gridSpan w:val="2"/>
            <w:shd w:val="clear" w:color="auto" w:fill="CCEEFF"/>
          </w:tcPr>
          <w:p>
            <w:pPr>
              <w:jc w:val="center"/>
              <w:ind w:right="1840"/>
              <w:spacing w:after="0" w:line="176" w:lineRule="exact"/>
              <w:rPr>
                <w:sz w:val="20"/>
                <w:szCs w:val="20"/>
                <w:color w:val="auto"/>
              </w:rPr>
            </w:pPr>
            <w:r>
              <w:rPr>
                <w:rFonts w:ascii="Arial" w:cs="Arial" w:eastAsia="Arial" w:hAnsi="Arial"/>
                <w:sz w:val="18"/>
                <w:szCs w:val="18"/>
                <w:b w:val="1"/>
                <w:bCs w:val="1"/>
                <w:color w:val="auto"/>
                <w:w w:val="94"/>
              </w:rPr>
              <w:t>Nasdaq Capital Market</w:t>
            </w:r>
          </w:p>
        </w:tc>
      </w:tr>
      <w:tr>
        <w:trPr>
          <w:trHeight w:val="20"/>
        </w:trPr>
        <w:tc>
          <w:tcPr>
            <w:tcW w:w="15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auto"/>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746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11" w:lineRule="exact"/>
        <w:rPr>
          <w:sz w:val="24"/>
          <w:szCs w:val="24"/>
          <w:color w:val="auto"/>
        </w:rPr>
      </w:pPr>
    </w:p>
    <w:p>
      <w:pPr>
        <w:ind w:right="1640"/>
        <w:spacing w:after="0" w:line="32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5601335</wp:posOffset>
            </wp:positionH>
            <wp:positionV relativeFrom="paragraph">
              <wp:posOffset>-365760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5901055</wp:posOffset>
            </wp:positionH>
            <wp:positionV relativeFrom="paragraph">
              <wp:posOffset>-365760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-133985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6003925</wp:posOffset>
            </wp:positionH>
            <wp:positionV relativeFrom="paragraph">
              <wp:posOffset>-133985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1785620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-133350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wp:posOffset>
            </wp:positionH>
            <wp:positionV relativeFrom="paragraph">
              <wp:posOffset>-133350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-133350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w:t>
      </w:r>
    </w:p>
    <w:p>
      <w:pPr>
        <w:sectPr>
          <w:pgSz w:w="11900" w:h="16838" w:orient="portrait"/>
          <w:cols w:equalWidth="0" w:num="1">
            <w:col w:w="11240"/>
          </w:cols>
          <w:pgMar w:left="320" w:top="449" w:right="339" w:bottom="1440" w:gutter="0" w:footer="0" w:header="0"/>
        </w:sectPr>
      </w:pPr>
    </w:p>
    <w:p>
      <w:pPr>
        <w:spacing w:after="0" w:line="70"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Large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-71755</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-109855</wp:posOffset>
            </wp:positionV>
            <wp:extent cx="86995" cy="88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-86360</wp:posOffset>
            </wp:positionV>
            <wp:extent cx="86995" cy="88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-102235</wp:posOffset>
            </wp:positionV>
            <wp:extent cx="86995" cy="88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-102235</wp:posOffset>
            </wp:positionV>
            <wp:extent cx="86995" cy="88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5" w:lineRule="exact"/>
        <w:rPr>
          <w:sz w:val="24"/>
          <w:szCs w:val="24"/>
          <w:color w:val="auto"/>
        </w:rPr>
      </w:pPr>
    </w:p>
    <w:p>
      <w:pPr>
        <w:sectPr>
          <w:pgSz w:w="11900" w:h="16838" w:orient="portrait"/>
          <w:cols w:equalWidth="0" w:num="2">
            <w:col w:w="4900" w:space="720"/>
            <w:col w:w="5620"/>
          </w:cols>
          <w:pgMar w:left="320" w:top="449" w:right="339" w:bottom="1440"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5427980</wp:posOffset>
            </wp:positionH>
            <wp:positionV relativeFrom="paragraph">
              <wp:posOffset>-86360</wp:posOffset>
            </wp:positionV>
            <wp:extent cx="86995" cy="88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5727700</wp:posOffset>
            </wp:positionH>
            <wp:positionV relativeFrom="paragraph">
              <wp:posOffset>-86360</wp:posOffset>
            </wp:positionV>
            <wp:extent cx="86995" cy="88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$221,759,775</w:t>
      </w:r>
    </w:p>
    <w:p>
      <w:pPr>
        <w:spacing w:after="0" w:line="11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14,635,611 common shares as of March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17"/>
                <w:szCs w:val="17"/>
                <w:color w:val="auto"/>
              </w:rPr>
            </w:pPr>
          </w:p>
        </w:tc>
      </w:tr>
      <w:tr>
        <w:trPr>
          <w:trHeight w:val="460"/>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w:t>
            </w:r>
          </w:p>
        </w:tc>
      </w:t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40" w:type="dxa"/>
            <w:vAlign w:val="bottom"/>
            <w:gridSpan w:val="11"/>
            <w:shd w:val="clear" w:color="auto" w:fill="CCEEFF"/>
          </w:tcPr>
          <w:p>
            <w:pPr>
              <w:jc w:val="center"/>
              <w:ind w:right="4520"/>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780" w:type="dxa"/>
            <w:vAlign w:val="bottom"/>
            <w:shd w:val="clear" w:color="auto" w:fill="CCEEFF"/>
          </w:tcPr>
          <w:p>
            <w:pPr>
              <w:spacing w:after="0"/>
              <w:rPr>
                <w:sz w:val="17"/>
                <w:szCs w:val="17"/>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20" w:type="dxa"/>
            <w:vAlign w:val="bottom"/>
            <w:gridSpan w:val="2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320" w:type="dxa"/>
            <w:vAlign w:val="bottom"/>
            <w:gridSpan w:val="2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320" w:type="dxa"/>
            <w:vAlign w:val="bottom"/>
            <w:gridSpan w:val="2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7280" w:type="dxa"/>
            <w:vAlign w:val="bottom"/>
            <w:tcBorders>
              <w:top w:val="single" w:sz="8" w:color="CCEEFF"/>
            </w:tcBorders>
            <w:gridSpan w:val="17"/>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Legal Proceedings</w:t>
              </w:r>
            </w:hyperlink>
          </w:p>
        </w:tc>
        <w:tc>
          <w:tcPr>
            <w:tcW w:w="798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320" w:type="dxa"/>
            <w:vAlign w:val="bottom"/>
            <w:gridSpan w:val="2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jc w:val="center"/>
              <w:ind w:right="4540"/>
              <w:spacing w:after="0" w:line="17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PART II</w:t>
              </w:r>
            </w:hyperlink>
          </w:p>
        </w:tc>
        <w:tc>
          <w:tcPr>
            <w:tcW w:w="78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320" w:type="dxa"/>
            <w:vAlign w:val="bottom"/>
            <w:gridSpan w:val="26"/>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and Related Stockholder Matters and Issuer Purchases of Equity Securities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7600" w:type="dxa"/>
            <w:vAlign w:val="bottom"/>
            <w:tcBorders>
              <w:bottom w:val="single" w:sz="8" w:color="CCEEFF"/>
            </w:tcBorders>
            <w:gridSpan w:val="20"/>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320" w:type="dxa"/>
            <w:vAlign w:val="bottom"/>
            <w:gridSpan w:val="26"/>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15</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320" w:type="dxa"/>
            <w:vAlign w:val="bottom"/>
            <w:gridSpan w:val="2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Financial Statements and Supplementary Data</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320" w:type="dxa"/>
            <w:vAlign w:val="bottom"/>
            <w:gridSpan w:val="26"/>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Changes In and Disagreements With Accountants on Accounting and Financial Disclosure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Controls and Procedures</w:t>
              </w:r>
            </w:hyperlink>
          </w:p>
        </w:tc>
        <w:tc>
          <w:tcPr>
            <w:tcW w:w="7540" w:type="dxa"/>
            <w:vAlign w:val="bottom"/>
            <w:tcBorders>
              <w:bottom w:val="single" w:sz="8" w:color="CCEEFF"/>
            </w:tcBorders>
            <w:gridSpan w:val="1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9B.</w:t>
            </w:r>
          </w:p>
        </w:tc>
        <w:tc>
          <w:tcPr>
            <w:tcW w:w="9320" w:type="dxa"/>
            <w:vAlign w:val="bottom"/>
            <w:gridSpan w:val="26"/>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160" w:type="dxa"/>
            <w:vAlign w:val="bottom"/>
            <w:gridSpan w:val="12"/>
          </w:tcPr>
          <w:p>
            <w:pPr>
              <w:jc w:val="center"/>
              <w:ind w:right="4500"/>
              <w:spacing w:after="0" w:line="17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PART III</w:t>
              </w:r>
            </w:hyperlink>
          </w:p>
        </w:tc>
        <w:tc>
          <w:tcPr>
            <w:tcW w:w="78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320" w:type="dxa"/>
            <w:vAlign w:val="bottom"/>
            <w:gridSpan w:val="26"/>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320" w:type="dxa"/>
            <w:vAlign w:val="bottom"/>
            <w:gridSpan w:val="26"/>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320" w:type="dxa"/>
            <w:vAlign w:val="bottom"/>
            <w:gridSpan w:val="26"/>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Certain Relationships and Related Transactions, and Director Independence</w:t>
              </w:r>
            </w:hyperlink>
          </w:p>
        </w:tc>
        <w:tc>
          <w:tcPr>
            <w:tcW w:w="386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9320" w:type="dxa"/>
            <w:vAlign w:val="bottom"/>
            <w:gridSpan w:val="2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20" w:type="dxa"/>
            <w:vAlign w:val="bottom"/>
            <w:gridSpan w:val="13"/>
          </w:tcPr>
          <w:p>
            <w:pPr>
              <w:jc w:val="center"/>
              <w:ind w:right="4440"/>
              <w:spacing w:after="0" w:line="17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PART IV</w:t>
              </w:r>
            </w:hyperlink>
          </w:p>
        </w:tc>
        <w:tc>
          <w:tcPr>
            <w:tcW w:w="7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320" w:type="dxa"/>
            <w:vAlign w:val="bottom"/>
            <w:gridSpan w:val="26"/>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4114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digital health company focused on connecting life sciences companies to our clients with critical content at the point-of-care. We provide electronic clinical information via electronic health record companies (EHRs) to the medical profession, providing a direct channel for pharmaceutical companies to communicate with healthcare providers. Our cloud-based solution supports patient adherence to medications by providing real-time access to financial assistance, prior authorization, and critical clinical information. Our network is comprised of leading EHR platforms and provides more than half of the ambulatory patient market with access to these benefits within their workflow at the point-of-care.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Company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increased to a record $24.6 million in 2019, a 16% increase over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net revenue was a record $7.4 million in Q4 2019, up 12% over Q4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successfully completed an underwritten offering in Q2 2019, raising $21.3 million in growth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acquired RMDY Health, Inc. (“RMDY”), a multipurpose digital therapeutics SaaS platform used by pharma, payers, medtech companies, and medical associations.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expanded our sales team and established a strong base for growth in 2020.</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signed an exclusive three-year partnership with NewCrop, LLC for messaging distribution, which included the creation of an innovation lab where clients can experiment with new digital communication solutions.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Sales and Marketing Updates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sales team continues to expand our business with existing and new clients communicating the increased value of our enterprise platform approach. We are focused on increasing the depth and breadth of our business across existing client product portfolios by maximizing the utilization of our network. We are also expanding our business by providing new solutions and obtaining new clients. Our team is also working on converting clients from individual solutions to enterprise platform deals that give them access to our full set of solutions across our network. These enterprise deals will enable us to increase our revenue per customer, as well as give us a more predictable and consistent revenue stream.</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acquisition of RMDY in late 2019, we restructured our sales organization by client type. We now have one team focused on pharmaceutical clients and another focused on payers, medtech, and associations.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continued to ramp up our marketing efforts by attending and taking on more strategic roles at conferences and other industry events. We are sponsoring conferences and our leadership team is actively participating as speakers and panelists. Most notable in 2019 were:</w:t>
      </w:r>
    </w:p>
    <w:p>
      <w:pPr>
        <w:spacing w:after="0" w:line="150" w:lineRule="exact"/>
        <w:rPr>
          <w:sz w:val="20"/>
          <w:szCs w:val="20"/>
          <w:color w:val="auto"/>
        </w:rPr>
      </w:pPr>
    </w:p>
    <w:p>
      <w:pPr>
        <w:ind w:left="660" w:hanging="328"/>
        <w:spacing w:after="0" w:line="18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Moderating two panels at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Digital Pharma East conference: “Innovation and Communication in Today’s Digitally-Charged Pharma Landscape” and “Success in Today’s Evolving Pharma Marketing Landscape”; and</w:t>
      </w:r>
    </w:p>
    <w:p>
      <w:pPr>
        <w:spacing w:after="0" w:line="230"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Sponsoring the “Women at HLTH” program at HLTH Conference.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also expanded our attendance and participation at investor conferences in 2019.</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presence and leadership at these conferences and industry events has enabled us to provide valuable industry insights and increase our presence across more media channels. We have built marketing strategy momentum in 2019 with increased industry visibility that we expect to expand in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we continued to expand our existing network and physician utilization of our partner networks. We continue to work individually with our partners to improve point-of-care workflow, increase overall revenue derived from each channel and increase coupon utilization by providers who have access. We are also focused on increasing the number of physicians who have access to our service offerings. In addition to revenue growth provided by new pharma brands and network partners, we believe there is significant revenue growth potential within existing brands by better utilizing our existing partner networks and expanding our product offerings.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completed the integration activities related to our acquisition of RMDY and expect revenues from these activities to ramp up substantially in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support our growth and to further improve the efficiency of our systems, we have moved our core platform to Amazon Web Services. In 2019, we began the process of migrating our patient engagement activities to Amazon Web Services (“AWS”), and the move is now complete. We plan to migrate the RMDY platform to AWS by mid-2020.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our acquisitions in 2018 and 2019, we now have tech teams based in both Croatia and Israel, in addition to our core team in the U.S., to help develop further applications throughout the organization.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addresses the fact that many healthcare systems and doctors are looking for an easier, more effective way to increase affordable access and adherence to their prescribed branded medications.</w:t>
      </w:r>
    </w:p>
    <w:p>
      <w:pPr>
        <w:spacing w:after="0" w:line="177"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and Clinical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banner messaging system, rolled this product out in 2017, and expanded it in 2018. We also developed our own clinical messaging system and launched it with our first partner in late 2018. We believe brand messaging represents a significant growth opportunity for us.</w:t>
      </w:r>
    </w:p>
    <w:p>
      <w:pPr>
        <w:spacing w:after="0" w:line="194"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164"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Patient Engagement – Our patient engagement activities arose out of our acquisition of CareSpeak Communications in October 2018. Our technology solution provides digital messaging services through our cloud based Mobile Health Messenger (“MHM”) Platform. We provide interactive health messaging for improved medication adherence and care coordination. Our HIPAA-compliant, automated, mobile messaging platform allows pharmaceutical manufactures and related entities to directly engage with patients to improve regimen compliance.</w:t>
      </w:r>
    </w:p>
    <w:p>
      <w:pPr>
        <w:spacing w:after="0" w:line="157"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Therapeutics – Our digital therapeutics activities result from our acquisition of RMDY in October 2019. Digital therapeutics consists of delivering patient programs with treatment and affordability information, lifestyle and condition trackers, Internet device connectivity, forms and surveys, with this all supported by a wide range of communication capabilities delivered via chat, bots, audio and telehealth. We enable this functionality for our customers, with our solutions delivering a variety of intervention mechanisms that help treat chronic conditions, such as diabetes and heart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core platform competes in the highly competitive pharmaceutical and life sciences digital marketing industry that is dominated by large well-known companies with established names, solid market niches, wide arrays of product offerings and marketing networks. Our messaging offerings compete for pharmaceutical budgets with a variety of other forms of advertising and promotion.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We have a growing list of potential partners whom either have content that they want to deliver through our distribution engine and network, or have complementary technology and want to integrate our solution as a channel partner and thereby increase their reach to clinicians. The primary direct competitor in our space of the market is ConnectiveRx. However, we believe our breadth of brands offered, extensive list of pharmaceutical clients, and the vast reach of our network give us a substantial advantage and allow us to achieve a dominant position in the marketplace.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 As part of our acquisition of CareSpeak Communications, we also acquired (US Patent No. 7,956,727) related to methods and systems for medication management.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a nationally ranked intellectual property law firm to further expand and protect our intellectual property.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OPTIMIZERx, CareSpeak, RMDY Wellness Layers, Diet Watch, and SampleMD are our licensed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we had 50 full-time employees in the U.S, as well as approximately 20 full-time international employees. None of our employees are represented by a labor union with respect to their employment with us. We have not experienced any work stoppages, and we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conduct our operations through our wholly-owned subsidiaries, OptimizeRx Corporation, a Michigan corporation, CareSpeak Communications, Inc., a New Jersey corporation, CareSpeak Communications, D.O.O, a controlled foreign corporation incorporated in Croatia, RMDY Health, Inc. a Delaware corporation, and Cyberdiet, a controlled foreign corporation incorporated in Israel.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our Board of Directors amended the 2013 Incentive Plan to increase the number of shares authorized under the plan to 3,000,000. At the same time, we granted 84,746 shares of restricted common stock and options to purchase 233,049 shares of common stock to officers and options to purchase 71,000 shares of common stock to non-officers.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have historically experienced losses, if we are unable to achieve profitability, our financial condition and company could suffer.</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we were profitable in 2018, since the inception of our business we have historically incurred losses as a result of investing in growth. We incurred a loss in 2019 as a result of our increased spending to invest in growth – both through additional new hires, as well as through the acquisition of RMDY. While we have increased revenues significantly, we have not yet consistently achieved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medical device manufacturers, payers, medtech, associations, and other companies. Our failure to retain existing customers or expand with new customers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are concentrated in less than 50 customers, primarily large pharmaceutical manufacturers. Loss of one or more of our larger customers could have a negative impact on our operating results. In both 2019 and 2018, we had three customers that each represented slightly over 10% of our revenues, however two of the three were different in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and electronic health record systems. Such arrangements subject us to a number of risks, including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 partners may experience financial, regulatory or operational difficulties, which may impair their ability to focus on and fulfill their contract obligations to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disputes or disagreements, including the ownership of intellectual property, may occur with one or more of our partners and may lead to lengthy and expensive litigation or arbitration;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changes in a partner’s business strategy may adversely affect a partner’s willingness or ability to satisfy obligations under any such arrangement;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partner could terminate the partnership arrangement, which could negatively impact our ability to sell our products and achieve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need to maintain these relationships as well as diversify them. The inability to do so could adversely impact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and electronic health record systems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labyrinth of regulations in healthcare space, state and federal, as well as political sensitivity of healthcare delivery, our business model could be negatively impacted or fail.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searches; and advertising networks that aggregate traffic from multiple sites.</w:t>
      </w:r>
    </w:p>
    <w:p>
      <w:pPr>
        <w:spacing w:after="0" w:line="161"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or changes in governmental funding for healthcare;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move to a single-payer healthcare system in the U.S.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global pandemic may disrupt our business or the business of our customers.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COVID-19 coronavirus, originating in China, has spread to a number of other countries, including the United States, and efforts to contain the spread of the coronavirus have intensified, including travel and other restrictions. Efforts to contain the virus may cause our customers to reallocate resources, or disrupt their business, which may impact our revenues. We are unable to predict how changing global economic conditions or potential global health concerns such as the COVID-19 coronavirus will affect our customers or partners. Any negative impact of such matters on our customers or partners may also have an adverse impact on our results of operations or financial condition.</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material weakness in our internal control over financial reporting, if not remediated, could result in material misstatements in our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under the Securities Exchange Act of 1934, as amended. A material weakness (as defined in Rule 12b-2) is a deficiency, or combination of deficiencies, in internal control over financial reporting, such that there is a reasonable possibility that a material misstatement of annual or interim financial statements will not be prevented or detected on a timely basis. As disclosed in Part II, Item 9a, management identified material weaknesses in internal control over financial reporting related to: (i) inadequate information technology general controls (ITGCs) in the areas of user access security, change management, IT operations and third-party management over key financial information technology (IT) systems; and (ii) inadequate controls to ensure that data received from third parties is complete and accurate. Those weaknesses have not been completely remediated as of December 31, 2019.</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developed a remediation plan, but as a small company, we have limited resources and if as a result of changes in our business, additional material weaknesses, were to be identified, it could result in our consolidated financial statements containing material misstatements in the future.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We could be subject to economic, political, regulatory and other risks arising from international operations.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as a result of our acquisitions in 2018 and 2019 wherein we now operate in Israel and Croatia, may involve risks that could adversely affect our business, including:</w:t>
      </w:r>
    </w:p>
    <w:p>
      <w:pPr>
        <w:spacing w:after="0" w:line="10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need to adapt our content and user interfaces for specific cultural and language differences;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distraction;</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natural or man-made disasters, political, social and economic instability, including wars, terrorism and political unrest, outbreak of disease (such as the recent outbreak of the 2019 novel coronavirus, or COVID-19), boycotts, curtailment of trade, and other business restrictions;</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United States laws, such as the Foreign Corrupt Practices Act, export controls and economic sanctions, and local laws prohibiting corrupt payments to government officials;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favorable foreign intellectual property laws;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impact revenues and expenses of our international operations and expose us to foreign currency exchange rate risk;</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 repatriation and other restrictions on the transfer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differing payment processing systems as well as consumer use and acceptance of electronic payment methods, such as payment cards;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and more stringent user protection, data protection, privacy and other laws;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reliable broadband connectivity and wide area networks in targeted areas for expansion.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Our failure to manage any of these risks successfully could harm our international operations and our overall business, as well as results of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and administrative costs and a diversion of management time and attention from revenue generating and other business activities to compliance activities.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securities are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or new products and services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of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both"/>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operating leases with terms greater than 12 months for office space in three multitenant facilities. The lease on our headquarters space in Rochester, Michigan expires November 30, 2022, with a three-year renewal option through 2025, with monthly rent payable at rates ranging from $6,384 to $6,688. We have assumed renewal of the lease. We also have a lease on office space in Cranbury, New Jersey, expiring in 2022 with monthly payments ranging from $3,008 to $3,158, as well as a lease of approximately $1,883 per month in Zagreb, Croatia expiring in 2022. We also lease minor amounts of space in shared space facilities on a month to month basis as necessary.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current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common stock is traded under the symbol “OPRX” on the Nasdaq Capital Market. Only a limited market exists for our securities. There is no assurance that a regular trading market will develop, or if developed, that it will be sustained. Therefore, a shareholder may be unable to resell his securities in our company.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bid information for our common stock for the each of the periods indicated. These quotations reflect inter-dealer prices, without retail mark-up, mark-down or commission and may not necessarily represent actual transactions.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Fiscal Year Ending December 31, 2018</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4180" w:type="dxa"/>
            <w:vAlign w:val="bottom"/>
          </w:tcPr>
          <w:p>
            <w:pPr>
              <w:spacing w:after="0"/>
              <w:rPr>
                <w:sz w:val="20"/>
                <w:szCs w:val="20"/>
                <w:color w:val="auto"/>
              </w:rPr>
            </w:pPr>
            <w:r>
              <w:rPr>
                <w:rFonts w:ascii="Arial" w:cs="Arial" w:eastAsia="Arial" w:hAnsi="Arial"/>
                <w:sz w:val="18"/>
                <w:szCs w:val="18"/>
                <w:color w:val="auto"/>
              </w:rPr>
              <w:t>Quarter Ended</w:t>
            </w: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High $</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Low $</w:t>
            </w:r>
          </w:p>
        </w:tc>
      </w:tr>
      <w:tr>
        <w:trPr>
          <w:trHeight w:val="202"/>
        </w:trPr>
        <w:tc>
          <w:tcPr>
            <w:tcW w:w="4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2018</w:t>
            </w:r>
          </w:p>
        </w:tc>
        <w:tc>
          <w:tcPr>
            <w:tcW w:w="4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79"/>
              </w:rPr>
              <w:t>4.98</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June 30, 2018</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September 30, 2018</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18.39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December 31, 2018</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8.92</w:t>
            </w:r>
          </w:p>
        </w:tc>
      </w:tr>
      <w:tr>
        <w:trPr>
          <w:trHeight w:val="432"/>
        </w:trPr>
        <w:tc>
          <w:tcPr>
            <w:tcW w:w="4180" w:type="dxa"/>
            <w:vAlign w:val="bottom"/>
          </w:tcPr>
          <w:p>
            <w:pPr>
              <w:spacing w:after="0"/>
              <w:rPr>
                <w:sz w:val="24"/>
                <w:szCs w:val="24"/>
                <w:color w:val="auto"/>
              </w:rPr>
            </w:pPr>
          </w:p>
        </w:tc>
        <w:tc>
          <w:tcPr>
            <w:tcW w:w="4700" w:type="dxa"/>
            <w:vAlign w:val="bottom"/>
            <w:gridSpan w:val="3"/>
          </w:tcPr>
          <w:p>
            <w:pPr>
              <w:ind w:left="20"/>
              <w:spacing w:after="0"/>
              <w:rPr>
                <w:sz w:val="20"/>
                <w:szCs w:val="20"/>
                <w:color w:val="auto"/>
              </w:rPr>
            </w:pPr>
            <w:r>
              <w:rPr>
                <w:rFonts w:ascii="Arial" w:cs="Arial" w:eastAsia="Arial" w:hAnsi="Arial"/>
                <w:sz w:val="18"/>
                <w:szCs w:val="18"/>
                <w:color w:val="auto"/>
              </w:rPr>
              <w:t>Fiscal Year Ending December 31, 2019</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4180" w:type="dxa"/>
            <w:vAlign w:val="bottom"/>
          </w:tcPr>
          <w:p>
            <w:pPr>
              <w:spacing w:after="0"/>
              <w:rPr>
                <w:sz w:val="20"/>
                <w:szCs w:val="20"/>
                <w:color w:val="auto"/>
              </w:rPr>
            </w:pPr>
            <w:r>
              <w:rPr>
                <w:rFonts w:ascii="Arial" w:cs="Arial" w:eastAsia="Arial" w:hAnsi="Arial"/>
                <w:sz w:val="18"/>
                <w:szCs w:val="18"/>
                <w:color w:val="auto"/>
              </w:rPr>
              <w:t>Quarter Ended</w:t>
            </w: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High $</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Low $</w:t>
            </w:r>
          </w:p>
        </w:tc>
      </w:tr>
      <w:tr>
        <w:trPr>
          <w:trHeight w:val="202"/>
        </w:trPr>
        <w:tc>
          <w:tcPr>
            <w:tcW w:w="4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2019</w:t>
            </w:r>
          </w:p>
        </w:tc>
        <w:tc>
          <w:tcPr>
            <w:tcW w:w="4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520"/>
              <w:spacing w:after="0" w:line="201" w:lineRule="exact"/>
              <w:rPr>
                <w:sz w:val="20"/>
                <w:szCs w:val="20"/>
                <w:color w:val="auto"/>
              </w:rPr>
            </w:pPr>
            <w:r>
              <w:rPr>
                <w:rFonts w:ascii="Arial" w:cs="Arial" w:eastAsia="Arial" w:hAnsi="Arial"/>
                <w:sz w:val="18"/>
                <w:szCs w:val="18"/>
                <w:color w:val="auto"/>
                <w:w w:val="84"/>
              </w:rPr>
              <w:t>15.71</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9.96</w:t>
            </w:r>
          </w:p>
        </w:tc>
        <w:tc>
          <w:tcPr>
            <w:tcW w:w="20" w:type="dxa"/>
            <w:vAlign w:val="bottom"/>
          </w:tcPr>
          <w:p>
            <w:pPr>
              <w:spacing w:after="0"/>
              <w:rPr>
                <w:sz w:val="17"/>
                <w:szCs w:val="17"/>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June 30, 2019</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16.75</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September 30, 2019</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13.42</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December 31, 2019</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w w:val="91"/>
              </w:rPr>
              <w:t>Quarter Ended March 31, 2020 (through March 24, 2020)</w:t>
            </w:r>
          </w:p>
        </w:tc>
        <w:tc>
          <w:tcPr>
            <w:tcW w:w="4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March 24, 2020, the last sales price per share of our common stock was $7.93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24, 2020, we had 14,605,611 shares of our common stock issued and outstanding, held by approximately 382 shareholders of record at our transfer agent, with approximately 2,200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are currently able to issue up to an aggregate total of 3,000,000 incentive or non-qualified options to purchase our common stock, stock awards and other offerings.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2019</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Number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Securities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remaining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Weighted-</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available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of Securities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for future</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be issued upon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exercise price</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issuance under</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exercise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rPr>
              <w:t>of</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equity</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of outstanding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compensation</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the Shareholders</w:t>
            </w: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options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options</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plans</w:t>
            </w:r>
          </w:p>
        </w:tc>
      </w:tr>
      <w:tr>
        <w:trPr>
          <w:trHeight w:val="202"/>
        </w:trPr>
        <w:tc>
          <w:tcPr>
            <w:tcW w:w="7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(a)</w:t>
            </w:r>
          </w:p>
        </w:tc>
        <w:tc>
          <w:tcPr>
            <w:tcW w:w="24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0"/>
              </w:rPr>
              <w:t>(b)</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(c)</w:t>
            </w:r>
          </w:p>
        </w:tc>
        <w:tc>
          <w:tcPr>
            <w:tcW w:w="20" w:type="dxa"/>
            <w:vAlign w:val="bottom"/>
          </w:tcPr>
          <w:p>
            <w:pPr>
              <w:spacing w:after="0"/>
              <w:rPr>
                <w:sz w:val="17"/>
                <w:szCs w:val="17"/>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2013 Equity Compensation Plan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1,624,221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6.27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236,614</w:t>
            </w:r>
          </w:p>
        </w:tc>
      </w:tr>
      <w:tr>
        <w:trPr>
          <w:trHeight w:val="251"/>
        </w:trPr>
        <w:tc>
          <w:tcPr>
            <w:tcW w:w="7320" w:type="dxa"/>
            <w:vAlign w:val="bottom"/>
            <w:gridSpan w:val="2"/>
          </w:tcPr>
          <w:p>
            <w:pPr>
              <w:spacing w:after="0"/>
              <w:rPr>
                <w:sz w:val="20"/>
                <w:szCs w:val="20"/>
                <w:color w:val="auto"/>
              </w:rPr>
            </w:pPr>
            <w:r>
              <w:rPr>
                <w:rFonts w:ascii="Arial" w:cs="Arial" w:eastAsia="Arial" w:hAnsi="Arial"/>
                <w:sz w:val="18"/>
                <w:szCs w:val="18"/>
                <w:color w:val="auto"/>
              </w:rPr>
              <w:t>Other Equity Compensation (restricted stock awards)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21"/>
                <w:szCs w:val="21"/>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r>
      <w:tr>
        <w:trPr>
          <w:trHeight w:val="250"/>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1,714,221</w:t>
            </w:r>
          </w:p>
        </w:tc>
        <w:tc>
          <w:tcPr>
            <w:tcW w:w="220" w:type="dxa"/>
            <w:vAlign w:val="bottom"/>
          </w:tcPr>
          <w:p>
            <w:pPr>
              <w:spacing w:after="0"/>
              <w:rPr>
                <w:sz w:val="21"/>
                <w:szCs w:val="21"/>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80"/>
              <w:spacing w:after="0" w:line="203" w:lineRule="exact"/>
              <w:rPr>
                <w:sz w:val="20"/>
                <w:szCs w:val="20"/>
                <w:color w:val="auto"/>
              </w:rPr>
            </w:pPr>
            <w:r>
              <w:rPr>
                <w:rFonts w:ascii="Arial" w:cs="Arial" w:eastAsia="Arial" w:hAnsi="Arial"/>
                <w:sz w:val="18"/>
                <w:szCs w:val="18"/>
                <w:color w:val="auto"/>
              </w:rPr>
              <w:t>6.27</w:t>
            </w:r>
          </w:p>
        </w:tc>
        <w:tc>
          <w:tcPr>
            <w:tcW w:w="11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236,614</w:t>
            </w: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2019, we issued 8,334 shares of restricted common stock to our outside Directors as part of our director compensation package for services rendered in Q4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October through December 2019, we issued 35,500 shares of common stock and received proceeds of $113,280 in connection with the exercise of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2020, we issued 35,032 shares of common stock and received proceeds of $112,151 in connection with the exercise of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revenue for the year ended December 31, 2019 was approximately $24.6 million, an increase of 16% from the year ended December 31, 2018. This increase resulted from a combination of factors, including increased pharmaceutical brands, an increased distribution network, strong growth in our brand messaging product, and our acquisition of CareSpeak Communications in late 2018 and RMDY Health in late 2019. We expect continued strong revenue growth in 2020 as a result of the foundations laid in 2018 and 2019.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50 pharmaceutical companies as customers. We have focused our efforts on expanding our customer base and through our acquisitions, have added medical device manufactures, payers, associations and other entities. In both 2019 and 2018, we had three customers that each represented slightly over 10% of our revenues, however two of the three were different in each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cost of revenues, composed primarily of revenue share expense, increased in the year ended December 31, 2019 compared to the year ended December 31, 2018 due to the increase in revenues. Our cost of revenues as a percentage of revenue, however, decreased from approximately 42% in the year ended December 31, 2018 to approximately 37% in the year ended December 31, 2019.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decrease in our cost of revenues as a percentage of revenue resulted primarily from product mix, specifically the increase in our patient engagement revenues that have a minimal cost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margin, which is simply the difference between our revenues and our cost of revenues, discussed above, increased from 2018 to 2019 as a result of the increased revenue. In addition, our gross margin percentage increased from approximately 58% in 2018 to 63% in 2019 for the reasons discussed above in the cost of revenues section. We expect our margins to remain at the 63% level, or higher in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increased to approximately $19.1 million for the year ended December 31, 2019, from approximately $12.0 million for the year ended December 31, 2018, an increase of approximately 60%.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1"/>
              </w:rPr>
              <w:t>Years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8,471,278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5,823,057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850,086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362,678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799,623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607,670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Board Compensation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137,000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105,639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Consultants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245,386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167,694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709,006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299,955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1,282,786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316,502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Development, and Maintenance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2,672,406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675,660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Integration Incentives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208,855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132,500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695,493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472,250</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Travel</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695,283</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390,563</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680" w:type="dxa"/>
            <w:vAlign w:val="bottom"/>
          </w:tcPr>
          <w:p>
            <w:pPr>
              <w:ind w:left="14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16,872,841</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9,505,713</w:t>
            </w: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2,260,298</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2,520,852</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9"/>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19,133,139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12,026,565</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main drivers for the overall increase in operating expenses in 2019 was our focus on staffing and scaling our company to foster, and be able to support, accelerated revenue growth.</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Within the operating expenses, there were a variety of increases, the largest of which was in salaries, wages and benefits, as a result of additional staff added in 2018 and 2019, including related benefits. During 2019, we hired a chief commercial officer, a chief technology officer, five new salespeople, a human resources manager, as well as other administrative positions. We also added 14 employees as a result of our RMDY acquisition in October 2019. During 2018, we added to our staff in several key areas, including a head of data analytics, an additional VP of sales, and a controller. We also added 10 employees in late 2018 as a result of our CareSpeak acquisition. The full year impact of these 2018 hires also increased payroll expense in 2019. We expect our compensation expense to increase in 2020, but at a much lower rate than in 2019.</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increased primarily because of costs associated with our uplisting to Nasdaq and the completion of the underwritten offering, as well as ongoing compliance with Sarbanes Oxley. We also switched auditors in 2019, which resulted in higher audit fees.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 costs are related to our acquisitions of RMDY Health in 2019 and CareSpeak Communications in October 2018. These costs include investment banker fees, legal and accounting due diligence, audit costs associated with CareSpeak, valuation experts for the purchase price allocation, and other miscellaneous costs. Since RMDY Health was a larger company than CareSpeak Communications, the costs associated with the acquisition were higher.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Board compensation decreased slightly from 2018 to 2019 as we had five independent directors for a portion of 2018, as opposed to the four that we had in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 of consultants increased from 2018 to 2019. The primary reason for the increase was related to consultants used for quality certifications, as well as for marketing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advertising and promotion costs increased significantly from 2018 to 2019 as a result of increased marketing activities. This included increased attendance and sponsorship at conferences, rebranding, and other marketing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related to research, development, management, and maintenance of our technology increased in 2019 primarily as a result of research into potential new product areas.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Integration incentives, which are fees paid to accelerate access to new partners, increased in 2019, as we launched with a greater number of new EHRs in 2019 than in 2018.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Depreciation and amortization increased significantly in 2019 from the 2018 levels. The increased amortization resulting from the acquisition of CareSpeak and the resulting intangible assets were amortized for a full year in 2019 as opposed to only the fourth quarter of 2018. We also had three months of amortization related to the intangible assets acquired as part of the acquisition of RMDY in October 2019. We expect depreciation and amortization expense in 2020 to increase over 2019 levels due to the full year of amortization of RMDY intangibles.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Office, facility, and other costs increased from 2018 to 2019. The main reason for the change related to a higher level of activity with more employees and increased expenses resulting from the RMDY acquisition.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based compensation decreased by approximately $260,000 from $2.5 million in 2018 to $2.3 million in 2019 primarily because performance-based awards granted in 2018 vested, whereas performance-based awards granted in 2019 did not vest because we did not meet the stretch goals required for vesting.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finished the year ended December 31, 2019 with a net loss of approximately $3.1 million, as compared to net income of approximately $0.2 million during the year ended December 31, 2018. The reasons for specific components are discussed above. Overall, we had an increase in revenue and gross margin offset by increased operating expenses to support future growth and costs associated with our acquisition of RMDY in 2019. In addition, the income or loss in both periods included significant noncash items. We had approximately $3.54 million in noncash operating expenses in 2019 and approximately $2.85 million in noncash operating expenses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table of our quarterly operating results for 2019 for information purposes.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First</w:t>
            </w: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Second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Fourth</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Quarter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3"/>
              </w:rPr>
              <w:t>Total Year</w:t>
            </w:r>
          </w:p>
        </w:tc>
        <w:tc>
          <w:tcPr>
            <w:tcW w:w="60" w:type="dxa"/>
            <w:vAlign w:val="bottom"/>
          </w:tcPr>
          <w:p>
            <w:pPr>
              <w:spacing w:after="0"/>
              <w:rPr>
                <w:sz w:val="20"/>
                <w:szCs w:val="20"/>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5,209,434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7,006,291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5,002,767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7,379,782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24,598,274</w:t>
            </w:r>
          </w:p>
        </w:tc>
        <w:tc>
          <w:tcPr>
            <w:tcW w:w="60" w:type="dxa"/>
            <w:vAlign w:val="bottom"/>
          </w:tcPr>
          <w:p>
            <w:pPr>
              <w:spacing w:after="0"/>
              <w:rPr>
                <w:sz w:val="24"/>
                <w:szCs w:val="24"/>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1,583,480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2,687,143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1,981,143</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2,906,933</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9,158,699</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3,625,954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4,319,148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3,021,624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4,472,849</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15,439,575</w:t>
            </w:r>
          </w:p>
        </w:tc>
        <w:tc>
          <w:tcPr>
            <w:tcW w:w="60" w:type="dxa"/>
            <w:vAlign w:val="bottom"/>
          </w:tcPr>
          <w:p>
            <w:pPr>
              <w:spacing w:after="0"/>
              <w:rPr>
                <w:sz w:val="24"/>
                <w:szCs w:val="24"/>
                <w:color w:val="auto"/>
              </w:rPr>
            </w:pP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3,493,789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3,839,105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5,008,934</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6,791,311</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19,133,139</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132,165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480,043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(1,987,310)</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(2,318,462)</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(3,693,564)</w:t>
            </w: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(125,636)</w:t>
            </w:r>
          </w:p>
        </w:tc>
        <w:tc>
          <w:tcPr>
            <w:tcW w:w="2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(73,426)</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416,368</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(564,278)</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(346,972)</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Income (loss) before Taxes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(2,882,740)</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(4,040,536)</w:t>
            </w:r>
          </w:p>
        </w:tc>
      </w:tr>
      <w:tr>
        <w:trPr>
          <w:trHeight w:val="445"/>
        </w:trPr>
        <w:tc>
          <w:tcPr>
            <w:tcW w:w="462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897,960</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897,960</w:t>
            </w:r>
          </w:p>
        </w:tc>
        <w:tc>
          <w:tcPr>
            <w:tcW w:w="60" w:type="dxa"/>
            <w:vAlign w:val="bottom"/>
          </w:tcPr>
          <w:p>
            <w:pPr>
              <w:spacing w:after="0"/>
              <w:rPr>
                <w:sz w:val="24"/>
                <w:szCs w:val="24"/>
                <w:color w:val="auto"/>
              </w:rPr>
            </w:pP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3"/>
        </w:trPr>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18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(1,984,780)</w:t>
            </w: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(3,142,576)</w:t>
            </w: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44"/>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4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Sum of four quarterly per share amounts does not equal annual total due to rounding.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total current assets of approximately $27.1 million, compared with current liabilities of approximately $6.1 million, resulting in working capital of approximately $21.0 million and a current ratio of approximately 4.4 to 1. This compares with the working capital balance of approximately $11.5 million and the current ratio of 3.7 to 1 at December 31, 2018. This increase in working capital, as discussed in more detail below, is primarily the result of the capital we raised in 2019.</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table with summary data from the consolidated statement of cash flows for the years ended December 31, 2019 and 2018, as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99"/>
              </w:rPr>
              <w:t>(1,660,796)</w:t>
            </w:r>
          </w:p>
        </w:tc>
        <w:tc>
          <w:tcPr>
            <w:tcW w:w="220" w:type="dxa"/>
            <w:vAlign w:val="bottom"/>
          </w:tcPr>
          <w:p>
            <w:pPr>
              <w:spacing w:after="0"/>
              <w:rPr>
                <w:sz w:val="17"/>
                <w:szCs w:val="17"/>
                <w:color w:val="auto"/>
              </w:rPr>
            </w:pP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792,555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(10,582,086)</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(5,686,833)</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22,181,528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8,685,739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9,938,646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3,791,461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activities used approximately $1.7 million in the year ended December 31, 2019, as compared with approximately $0.8 million provided by operating activities in the year ended December 31, 2018. The cash provided in 2018 was the result of our net income and non-cash expenses, partially offset by the increased working capital required to support higher revenues. The cash used in operations in 2019 was the result of increased levels of working capital required to support higher revenue levels, expenditures related to growth, and costs associated with our acquisition in 2019.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approximately $5.7 million in investing activities in the year ended December 31, 2018, as compared with approximately $10.6 million used in investing activities in the year ended December 31, 2019. The majority of the investing activities in 2018 related to our acquisition of CareSpeak communications in October 2018. The majority of investing in activities in 2019 related to our acquisitions of RMDY Health, Inc. in 2019, as well as a software purchase in 2019.</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Financing activities provided $8.7 million in the year ended December 31, 2018, as compared with $22.2 million in the year ended December 31, 2019. The cash provided in 2018 was primarily the result of the equity raised in connection with our uplisting to Nasdaq, as well as from the proceeds of option exercises. The cash used in 2019 was the result of our underwritten offering in 2019, as well as from the proceeds of option exercises.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our cash on hand, we have sufficient cash to operate our business for more than the next 12 months and we do not anticipate the need to raise additional equity for operating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2019; however, we consider our critical accounting policies to be those related to revenue recognition, calculation of revenue share expense (cost of revenues), stock-based compensation, capitalization and related amortization of intangible assets and impairment of assets. Following is a summary of those policies.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Unless otherwise specified, revenue is recognized based on the gross selling price to customers.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contracts are generally all less than one year and the primary performance obligation is delivery of messages, but the contract may contain additional performance obligations. Additional performance obligations may include program design and set up, and reporting.</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occurring over a period of time, depending on the client contract. We recognize setup fees that are required for integrating client offerings and campaigns into the rule-based content delivery system and network over the life of the initial program, based either on time or units delivered, depending upon which is most appropriate in the specific situation. Additionally, we also recognize revenue for providing program performance reporting and maintenance, either by us directly delivering reports, or by providing access to our online reporting portal that the client can utilize. These fees are charged monthly and recognized as recurring monthly revenue at the time of delivery.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generate revenue by providing other services such as design services related to our patient engagement programs. Revenue for services provided is recognized over the time period during which services are provided.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some instances, we also resell products and/or services that are available through channel partners on a commission basis, and that are complementary to the core business and client base. In these instances, net revenue is recognized based on the commission-based revenue split that we receive.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cost of revenue is revenue share expense. Based on the volume of transactions that are delivered through the channel partner network, we provide a revenue share to compensate the partner for their promotion of the campaign. Revenue shares are a negotiated percentage of the transaction fees and can also be specific to special considerations and campaigns. In addition, we pay revenue share to ConnectiveRx (formerly LDM/PDR) as a result of a 2014 legal settlement in an amount equal to the greater of 10% of financial messaging distribution revenues generated through its integrated network, or $0.37 per financial message distributed through our integrated network. The contractual amount due to the channel partners is recorded as an expense at the time the eCoupon is distributed.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assets are stated at cost. Finite-lived assets are being amortized over their estimated useful lives of 15 to 17 years for patents, 8 to 15 years for customer relationships, 2 to 4 years for covenants not to compete, 10 years for technology, and 3 to 4 years for software and websites, all using the straight-line method. These assets, as well as our indefinite-lived asset, are evaluated annually in our fiscal fourth quarter for impairment.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Under ASU No. 2016-02, we recognize most leases on our balance sheet as lease liabilities with corresponding right-of-use assets. ASU No. 2016-02 was effective for fiscal years beginning after December 15, 2018. We adopted ASU No. 2016-02 on January 1, 2019. See Note 13 “Leases” for information regarding this standard and its adoption in the accompanying consolidated financial statements included elsewhere in this Form 10-K.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ASU No. 2017-04 was issued to simplify the accounting for goodwill impairment. ASU No. 2017-04 removes the second step of the goodwill impairment test, which requires that a hypothetical purchase price allocation be performed to determine the amount of impairment, if any. Under ASU No. 2017-04, a goodwill impairment charge will be based on the amount by which a reporting unit’s carrying value exceeds its fair value, not to exceed the carrying amount of goodwill. ASU No. 2017-04 became effective on a prospective basis for us on January 1, 2020. The adoption of this standard is not expected to have a material effect on our financial position, results of operations, or cash flows.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 Financial Instruments-Credit Losses</w:t>
      </w:r>
      <w:r>
        <w:rPr>
          <w:rFonts w:ascii="Arial" w:cs="Arial" w:eastAsia="Arial" w:hAnsi="Arial"/>
          <w:sz w:val="17"/>
          <w:szCs w:val="17"/>
          <w:color w:val="auto"/>
        </w:rPr>
        <w:t xml:space="preserve"> (Topic 326)</w:t>
      </w:r>
      <w:r>
        <w:rPr>
          <w:rFonts w:ascii="Arial" w:cs="Arial" w:eastAsia="Arial" w:hAnsi="Arial"/>
          <w:sz w:val="17"/>
          <w:szCs w:val="17"/>
          <w:i w:val="1"/>
          <w:iCs w:val="1"/>
          <w:color w:val="auto"/>
        </w:rPr>
        <w:t>,</w:t>
      </w:r>
      <w:r>
        <w:rPr>
          <w:rFonts w:ascii="Arial" w:cs="Arial" w:eastAsia="Arial" w:hAnsi="Arial"/>
          <w:sz w:val="17"/>
          <w:szCs w:val="17"/>
          <w:color w:val="auto"/>
        </w:rPr>
        <w:t xml:space="preserve"> which introduces the Current Expected Credit Losses (“CECL”) accounting model.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ASU No. 2016-13 is effective for us on January 1, 2020. The adoption of this standard did not have a material effect on our financial position, results of operations, or cash flows.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We do not expect the adoption of ASU 2019-12 to have a material impact on our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F-1</w:t>
      </w:r>
      <w:r>
        <w:rPr>
          <w:sz w:val="20"/>
          <w:szCs w:val="20"/>
          <w:color w:val="auto"/>
        </w:rPr>
        <w:tab/>
      </w:r>
      <w:hyperlink w:anchor="page25">
        <w:r>
          <w:rPr>
            <w:rFonts w:ascii="Arial" w:cs="Arial" w:eastAsia="Arial" w:hAnsi="Arial"/>
            <w:sz w:val="16"/>
            <w:szCs w:val="16"/>
            <w:u w:val="single" w:color="auto"/>
            <w:color w:val="0000EE"/>
          </w:rPr>
          <w:t>Reports of Independent Registered Public Accounting Firms;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960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3"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F-3</w:t>
      </w:r>
      <w:r>
        <w:rPr>
          <w:sz w:val="20"/>
          <w:szCs w:val="20"/>
          <w:color w:val="auto"/>
        </w:rPr>
        <w:tab/>
      </w:r>
      <w:hyperlink w:anchor="page26">
        <w:r>
          <w:rPr>
            <w:rFonts w:ascii="Arial" w:cs="Arial" w:eastAsia="Arial" w:hAnsi="Arial"/>
            <w:sz w:val="16"/>
            <w:szCs w:val="16"/>
            <w:u w:val="single" w:color="auto"/>
            <w:color w:val="0000EE"/>
          </w:rPr>
          <w:t>Consolidated Balance Sheets as of December 31, 2019 and 2018;</w:t>
        </w:r>
      </w:hyperlink>
    </w:p>
    <w:p>
      <w:pPr>
        <w:spacing w:after="0" w:line="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F-4</w:t>
      </w:r>
      <w:r>
        <w:rPr>
          <w:sz w:val="20"/>
          <w:szCs w:val="20"/>
          <w:color w:val="auto"/>
        </w:rPr>
        <w:tab/>
      </w:r>
      <w:hyperlink w:anchor="page27">
        <w:r>
          <w:rPr>
            <w:rFonts w:ascii="Arial" w:cs="Arial" w:eastAsia="Arial" w:hAnsi="Arial"/>
            <w:sz w:val="16"/>
            <w:szCs w:val="16"/>
            <w:u w:val="single" w:color="auto"/>
            <w:color w:val="0000EE"/>
          </w:rPr>
          <w:t>Consolidated Statements of Operations for the years ended December 31, 2019 and 2018;</w:t>
        </w:r>
      </w:hyperlink>
    </w:p>
    <w:p>
      <w:pPr>
        <w:spacing w:after="0" w:line="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F-5</w:t>
      </w:r>
      <w:r>
        <w:rPr>
          <w:sz w:val="20"/>
          <w:szCs w:val="20"/>
          <w:color w:val="auto"/>
        </w:rPr>
        <w:tab/>
      </w:r>
      <w:hyperlink w:anchor="page29">
        <w:r>
          <w:rPr>
            <w:rFonts w:ascii="Arial" w:cs="Arial" w:eastAsia="Arial" w:hAnsi="Arial"/>
            <w:sz w:val="16"/>
            <w:szCs w:val="16"/>
            <w:u w:val="single" w:color="auto"/>
            <w:color w:val="0000EE"/>
          </w:rPr>
          <w:t>Consolidated Statement of Stockholders’ Equity for the year ended December 31, 2019;</w:t>
        </w:r>
      </w:hyperlink>
    </w:p>
    <w:p>
      <w:pPr>
        <w:spacing w:after="0" w:line="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F-6</w:t>
      </w:r>
      <w:r>
        <w:rPr>
          <w:sz w:val="20"/>
          <w:szCs w:val="20"/>
          <w:color w:val="auto"/>
        </w:rPr>
        <w:tab/>
      </w:r>
      <w:hyperlink w:anchor="page28">
        <w:r>
          <w:rPr>
            <w:rFonts w:ascii="Arial" w:cs="Arial" w:eastAsia="Arial" w:hAnsi="Arial"/>
            <w:sz w:val="16"/>
            <w:szCs w:val="16"/>
            <w:u w:val="single" w:color="auto"/>
            <w:color w:val="0000EE"/>
          </w:rPr>
          <w:t>Consolidated Statement of Stockholders’ Equity for the year ended December 31, 2018;</w:t>
        </w:r>
      </w:hyperlink>
    </w:p>
    <w:p>
      <w:pPr>
        <w:spacing w:after="0" w:line="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F-7</w:t>
      </w:r>
      <w:r>
        <w:rPr>
          <w:sz w:val="20"/>
          <w:szCs w:val="20"/>
          <w:color w:val="auto"/>
        </w:rPr>
        <w:tab/>
      </w:r>
      <w:hyperlink w:anchor="page30">
        <w:r>
          <w:rPr>
            <w:rFonts w:ascii="Arial" w:cs="Arial" w:eastAsia="Arial" w:hAnsi="Arial"/>
            <w:sz w:val="16"/>
            <w:szCs w:val="16"/>
            <w:u w:val="single" w:color="auto"/>
            <w:color w:val="0000EE"/>
          </w:rPr>
          <w:t>Consolidated Statements of Cash Flows for the years ended December 31, 2019 and 2018; and</w:t>
        </w:r>
      </w:hyperlink>
    </w:p>
    <w:p>
      <w:pPr>
        <w:spacing w:after="0" w:line="9"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F-8</w:t>
      </w:r>
      <w:r>
        <w:rPr>
          <w:sz w:val="20"/>
          <w:szCs w:val="20"/>
          <w:color w:val="auto"/>
        </w:rPr>
        <w:tab/>
      </w:r>
      <w:hyperlink w:anchor="page31">
        <w:r>
          <w:rPr>
            <w:rFonts w:ascii="Arial" w:cs="Arial" w:eastAsia="Arial" w:hAnsi="Arial"/>
            <w:sz w:val="16"/>
            <w:szCs w:val="16"/>
            <w:u w:val="single" w:color="auto"/>
            <w:color w:val="0000EE"/>
          </w:rPr>
          <w:t>Notes to Consolidated Financial Statements</w:t>
        </w:r>
      </w:hyperlink>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 w:name="page24"/>
    <w:bookmarkEnd w:id="23"/>
    <w:p>
      <w:pPr>
        <w:ind w:left="25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OptimizeRx Corporation and Subsidiaries (the “Company”) as of December 31, 2019, and the related consolidated statements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the criteria established in Internal Control - Integrated Framework issued by the Committee of Sponsoring Organizations of the Treadway Commission (COSO) in 2013 and our report dated March 26, 2020, expressed an adverse opinion on the effectiveness of the Company’s internal control over financial reporting because of the existence of material weaknesses.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2 to the financial statements, the Company changed its method of accounting for leases in 2019 due to the adoption of ASU No. 2016-02, Leases (Topic 842), as amended, effective January 1, 2019,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25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 of OptimizeRx Corporation (“the Company”) as of December 31, 2018, the related consolidated statement of operations, stockholders’ equity, and cash flows for the year ended December 31, 2018 and the related notes (collectively referred to as the “consolidated financial statements”). In our opinion, the consolidated financial statements referred to above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2017 to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right="1280" w:firstLine="144"/>
        <w:spacing w:after="0" w:line="281" w:lineRule="auto"/>
        <w:rPr>
          <w:sz w:val="20"/>
          <w:szCs w:val="20"/>
          <w:color w:val="auto"/>
        </w:rPr>
      </w:pPr>
      <w:r>
        <w:rPr>
          <w:rFonts w:ascii="Arial" w:cs="Arial" w:eastAsia="Arial" w:hAnsi="Arial"/>
          <w:sz w:val="18"/>
          <w:szCs w:val="18"/>
          <w:color w:val="auto"/>
        </w:rPr>
        <w:t>Prepaid expenses 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Technology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Security deposits and other assets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39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80"/>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p>
      <w:pPr>
        <w:ind w:left="4680"/>
        <w:spacing w:after="0"/>
        <w:tabs>
          <w:tab w:leader="none" w:pos="6000" w:val="left"/>
        </w:tabs>
        <w:rPr>
          <w:sz w:val="20"/>
          <w:szCs w:val="20"/>
          <w:color w:val="auto"/>
        </w:rPr>
      </w:pPr>
      <w:r>
        <w:rPr>
          <w:rFonts w:ascii="Arial" w:cs="Arial" w:eastAsia="Arial" w:hAnsi="Arial"/>
          <w:sz w:val="18"/>
          <w:szCs w:val="18"/>
          <w:color w:val="auto"/>
        </w:rPr>
        <w:t>December 31,</w:t>
      </w:r>
      <w:r>
        <w:rPr>
          <w:sz w:val="20"/>
          <w:szCs w:val="20"/>
          <w:color w:val="auto"/>
        </w:rPr>
        <w:tab/>
      </w:r>
      <w:r>
        <w:rPr>
          <w:rFonts w:ascii="Arial" w:cs="Arial" w:eastAsia="Arial" w:hAnsi="Arial"/>
          <w:sz w:val="15"/>
          <w:szCs w:val="15"/>
          <w:color w:val="auto"/>
        </w:rPr>
        <w:t>December 31,</w:t>
      </w:r>
    </w:p>
    <w:p>
      <w:pPr>
        <w:spacing w:after="0" w:line="23" w:lineRule="exact"/>
        <w:rPr>
          <w:sz w:val="20"/>
          <w:szCs w:val="20"/>
          <w:color w:val="auto"/>
        </w:rPr>
      </w:pPr>
    </w:p>
    <w:p>
      <w:pPr>
        <w:ind w:left="5020"/>
        <w:spacing w:after="0"/>
        <w:tabs>
          <w:tab w:leader="none" w:pos="63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5715</wp:posOffset>
            </wp:positionV>
            <wp:extent cx="15601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ASSETS</w:t>
      </w:r>
    </w:p>
    <w:p>
      <w:pPr>
        <w:spacing w:after="0" w:line="200" w:lineRule="exact"/>
        <w:rPr>
          <w:sz w:val="20"/>
          <w:szCs w:val="20"/>
          <w:color w:val="auto"/>
        </w:rPr>
      </w:pPr>
    </w:p>
    <w:p>
      <w:pPr>
        <w:spacing w:after="0" w:line="245" w:lineRule="exact"/>
        <w:rPr>
          <w:sz w:val="20"/>
          <w:szCs w:val="20"/>
          <w:color w:val="auto"/>
        </w:rPr>
      </w:pPr>
    </w:p>
    <w:p>
      <w:pPr>
        <w:jc w:val="both"/>
        <w:ind w:left="4640"/>
        <w:spacing w:after="0"/>
        <w:tabs>
          <w:tab w:leader="none" w:pos="4940" w:val="left"/>
          <w:tab w:leader="none" w:pos="5960" w:val="left"/>
          <w:tab w:leader="none" w:pos="6360" w:val="left"/>
        </w:tabs>
        <w:rPr>
          <w:sz w:val="20"/>
          <w:szCs w:val="20"/>
          <w:color w:val="auto"/>
        </w:rPr>
      </w:pPr>
      <w:r>
        <w:rPr>
          <w:rFonts w:ascii="Arial" w:cs="Arial" w:eastAsia="Arial" w:hAnsi="Arial"/>
          <w:sz w:val="18"/>
          <w:szCs w:val="18"/>
          <w:color w:val="auto"/>
        </w:rPr>
        <w:t>$</w:t>
        <w:tab/>
        <w:t>18,852,680</w:t>
        <w:tab/>
        <w:t>$</w:t>
      </w:r>
      <w:r>
        <w:rPr>
          <w:sz w:val="20"/>
          <w:szCs w:val="20"/>
          <w:color w:val="auto"/>
        </w:rPr>
        <w:tab/>
      </w:r>
      <w:r>
        <w:rPr>
          <w:rFonts w:ascii="Arial" w:cs="Arial" w:eastAsia="Arial" w:hAnsi="Arial"/>
          <w:sz w:val="16"/>
          <w:szCs w:val="16"/>
          <w:color w:val="auto"/>
        </w:rPr>
        <w:t>8,914,034</w:t>
      </w:r>
    </w:p>
    <w:p>
      <w:pPr>
        <w:spacing w:after="0" w:line="23" w:lineRule="exact"/>
        <w:rPr>
          <w:sz w:val="20"/>
          <w:szCs w:val="20"/>
          <w:color w:val="auto"/>
        </w:rPr>
      </w:pPr>
    </w:p>
    <w:p>
      <w:pPr>
        <w:jc w:val="both"/>
        <w:ind w:left="5040"/>
        <w:spacing w:after="0"/>
        <w:tabs>
          <w:tab w:leader="none" w:pos="6360" w:val="left"/>
        </w:tabs>
        <w:rPr>
          <w:sz w:val="20"/>
          <w:szCs w:val="20"/>
          <w:color w:val="auto"/>
        </w:rPr>
      </w:pPr>
      <w:r>
        <w:rPr>
          <w:rFonts w:ascii="Arial" w:cs="Arial" w:eastAsia="Arial" w:hAnsi="Arial"/>
          <w:sz w:val="18"/>
          <w:szCs w:val="18"/>
          <w:color w:val="auto"/>
        </w:rPr>
        <w:t>7,418,025</w:t>
      </w:r>
      <w:r>
        <w:rPr>
          <w:sz w:val="20"/>
          <w:szCs w:val="20"/>
          <w:color w:val="auto"/>
        </w:rPr>
        <w:tab/>
      </w:r>
      <w:r>
        <w:rPr>
          <w:rFonts w:ascii="Arial" w:cs="Arial" w:eastAsia="Arial" w:hAnsi="Arial"/>
          <w:sz w:val="18"/>
          <w:szCs w:val="18"/>
          <w:color w:val="auto"/>
        </w:rPr>
        <w:t>6,457,841</w:t>
      </w:r>
    </w:p>
    <w:p>
      <w:pPr>
        <w:spacing w:after="0" w:line="9" w:lineRule="exact"/>
        <w:rPr>
          <w:sz w:val="20"/>
          <w:szCs w:val="20"/>
          <w:color w:val="auto"/>
        </w:rPr>
      </w:pPr>
    </w:p>
    <w:p>
      <w:pPr>
        <w:jc w:val="both"/>
        <w:ind w:left="5180"/>
        <w:spacing w:after="0"/>
        <w:tabs>
          <w:tab w:leader="none" w:pos="6480" w:val="left"/>
        </w:tabs>
        <w:rPr>
          <w:sz w:val="20"/>
          <w:szCs w:val="20"/>
          <w:color w:val="auto"/>
        </w:rPr>
      </w:pPr>
      <w:r>
        <w:rPr>
          <w:rFonts w:ascii="Arial" w:cs="Arial" w:eastAsia="Arial" w:hAnsi="Arial"/>
          <w:sz w:val="18"/>
          <w:szCs w:val="18"/>
          <w:color w:val="auto"/>
        </w:rPr>
        <w:t>871,043</w:t>
      </w:r>
      <w:r>
        <w:rPr>
          <w:sz w:val="20"/>
          <w:szCs w:val="20"/>
          <w:color w:val="auto"/>
        </w:rPr>
        <w:tab/>
      </w:r>
      <w:r>
        <w:rPr>
          <w:rFonts w:ascii="Arial" w:cs="Arial" w:eastAsia="Arial" w:hAnsi="Arial"/>
          <w:sz w:val="18"/>
          <w:szCs w:val="18"/>
          <w:color w:val="auto"/>
        </w:rPr>
        <w:t>360,146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156019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4960"/>
        <w:spacing w:after="0"/>
        <w:tabs>
          <w:tab w:leader="none" w:pos="6260" w:val="left"/>
        </w:tabs>
        <w:rPr>
          <w:sz w:val="20"/>
          <w:szCs w:val="20"/>
          <w:color w:val="auto"/>
        </w:rPr>
      </w:pPr>
      <w:r>
        <w:rPr>
          <w:rFonts w:ascii="Arial" w:cs="Arial" w:eastAsia="Arial" w:hAnsi="Arial"/>
          <w:sz w:val="18"/>
          <w:szCs w:val="18"/>
          <w:color w:val="auto"/>
        </w:rPr>
        <w:t>27,141,748</w:t>
      </w:r>
      <w:r>
        <w:rPr>
          <w:sz w:val="20"/>
          <w:szCs w:val="20"/>
          <w:color w:val="auto"/>
        </w:rPr>
        <w:tab/>
      </w:r>
      <w:r>
        <w:rPr>
          <w:rFonts w:ascii="Arial" w:cs="Arial" w:eastAsia="Arial" w:hAnsi="Arial"/>
          <w:sz w:val="18"/>
          <w:szCs w:val="18"/>
          <w:color w:val="auto"/>
        </w:rPr>
        <w:t>15,732,021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156019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jc w:val="both"/>
        <w:ind w:left="5180"/>
        <w:spacing w:after="0"/>
        <w:tabs>
          <w:tab w:leader="none" w:pos="6480" w:val="left"/>
        </w:tabs>
        <w:rPr>
          <w:sz w:val="20"/>
          <w:szCs w:val="20"/>
          <w:color w:val="auto"/>
        </w:rPr>
      </w:pPr>
      <w:r>
        <w:rPr>
          <w:rFonts w:ascii="Arial" w:cs="Arial" w:eastAsia="Arial" w:hAnsi="Arial"/>
          <w:sz w:val="18"/>
          <w:szCs w:val="18"/>
          <w:color w:val="auto"/>
        </w:rPr>
        <w:t>176,014</w:t>
      </w:r>
      <w:r>
        <w:rPr>
          <w:sz w:val="20"/>
          <w:szCs w:val="20"/>
          <w:color w:val="auto"/>
        </w:rPr>
        <w:tab/>
      </w:r>
      <w:r>
        <w:rPr>
          <w:rFonts w:ascii="Arial" w:cs="Arial" w:eastAsia="Arial" w:hAnsi="Arial"/>
          <w:sz w:val="18"/>
          <w:szCs w:val="18"/>
          <w:color w:val="auto"/>
        </w:rPr>
        <w:t>149,330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156019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jc w:val="both"/>
        <w:ind w:left="4960"/>
        <w:spacing w:after="0"/>
        <w:tabs>
          <w:tab w:leader="none" w:pos="636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3,678,513</w:t>
      </w:r>
    </w:p>
    <w:p>
      <w:pPr>
        <w:spacing w:after="0" w:line="23" w:lineRule="exact"/>
        <w:rPr>
          <w:sz w:val="20"/>
          <w:szCs w:val="20"/>
          <w:color w:val="auto"/>
        </w:rPr>
      </w:pPr>
    </w:p>
    <w:p>
      <w:pPr>
        <w:jc w:val="both"/>
        <w:ind w:left="5040"/>
        <w:spacing w:after="0"/>
        <w:tabs>
          <w:tab w:leader="none" w:pos="6480" w:val="left"/>
        </w:tabs>
        <w:rPr>
          <w:sz w:val="20"/>
          <w:szCs w:val="20"/>
          <w:color w:val="auto"/>
        </w:rPr>
      </w:pPr>
      <w:r>
        <w:rPr>
          <w:rFonts w:ascii="Arial" w:cs="Arial" w:eastAsia="Arial" w:hAnsi="Arial"/>
          <w:sz w:val="18"/>
          <w:szCs w:val="18"/>
          <w:color w:val="auto"/>
        </w:rPr>
        <w:t>6,238,453</w:t>
      </w:r>
      <w:r>
        <w:rPr>
          <w:sz w:val="20"/>
          <w:szCs w:val="20"/>
          <w:color w:val="auto"/>
        </w:rPr>
        <w:tab/>
      </w:r>
      <w:r>
        <w:rPr>
          <w:rFonts w:ascii="Arial" w:cs="Arial" w:eastAsia="Arial" w:hAnsi="Arial"/>
          <w:sz w:val="18"/>
          <w:szCs w:val="18"/>
          <w:color w:val="auto"/>
        </w:rPr>
        <w:t>104,820</w:t>
      </w:r>
    </w:p>
    <w:p>
      <w:pPr>
        <w:spacing w:after="0" w:line="9" w:lineRule="exact"/>
        <w:rPr>
          <w:sz w:val="20"/>
          <w:szCs w:val="20"/>
          <w:color w:val="auto"/>
        </w:rPr>
      </w:pPr>
    </w:p>
    <w:p>
      <w:pPr>
        <w:jc w:val="both"/>
        <w:ind w:left="5040"/>
        <w:spacing w:after="0"/>
        <w:tabs>
          <w:tab w:leader="none" w:pos="6360" w:val="left"/>
        </w:tabs>
        <w:rPr>
          <w:sz w:val="20"/>
          <w:szCs w:val="20"/>
          <w:color w:val="auto"/>
        </w:rPr>
      </w:pPr>
      <w:r>
        <w:rPr>
          <w:rFonts w:ascii="Arial" w:cs="Arial" w:eastAsia="Arial" w:hAnsi="Arial"/>
          <w:sz w:val="18"/>
          <w:szCs w:val="18"/>
          <w:color w:val="auto"/>
        </w:rPr>
        <w:t>2,550,587</w:t>
      </w:r>
      <w:r>
        <w:rPr>
          <w:sz w:val="20"/>
          <w:szCs w:val="20"/>
          <w:color w:val="auto"/>
        </w:rPr>
        <w:tab/>
      </w:r>
      <w:r>
        <w:rPr>
          <w:rFonts w:ascii="Arial" w:cs="Arial" w:eastAsia="Arial" w:hAnsi="Arial"/>
          <w:sz w:val="18"/>
          <w:szCs w:val="18"/>
          <w:color w:val="auto"/>
        </w:rPr>
        <w:t>2,766,944</w:t>
      </w:r>
    </w:p>
    <w:p>
      <w:pPr>
        <w:spacing w:after="0" w:line="9" w:lineRule="exact"/>
        <w:rPr>
          <w:sz w:val="20"/>
          <w:szCs w:val="20"/>
          <w:color w:val="auto"/>
        </w:rPr>
      </w:pPr>
    </w:p>
    <w:p>
      <w:pPr>
        <w:jc w:val="both"/>
        <w:ind w:left="5180"/>
        <w:spacing w:after="0"/>
        <w:tabs>
          <w:tab w:leader="none" w:pos="7020" w:val="left"/>
        </w:tabs>
        <w:rPr>
          <w:sz w:val="20"/>
          <w:szCs w:val="20"/>
          <w:color w:val="auto"/>
        </w:rPr>
      </w:pPr>
      <w:r>
        <w:rPr>
          <w:rFonts w:ascii="Arial" w:cs="Arial" w:eastAsia="Arial" w:hAnsi="Arial"/>
          <w:sz w:val="18"/>
          <w:szCs w:val="18"/>
          <w:color w:val="auto"/>
        </w:rPr>
        <w:t>559,863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5040"/>
        <w:spacing w:after="0"/>
        <w:tabs>
          <w:tab w:leader="none" w:pos="6360" w:val="left"/>
        </w:tabs>
        <w:rPr>
          <w:sz w:val="20"/>
          <w:szCs w:val="20"/>
          <w:color w:val="auto"/>
        </w:rPr>
      </w:pPr>
      <w:r>
        <w:rPr>
          <w:rFonts w:ascii="Arial" w:cs="Arial" w:eastAsia="Arial" w:hAnsi="Arial"/>
          <w:sz w:val="18"/>
          <w:szCs w:val="18"/>
          <w:color w:val="auto"/>
        </w:rPr>
        <w:t>5,151,102</w:t>
      </w:r>
      <w:r>
        <w:rPr>
          <w:sz w:val="20"/>
          <w:szCs w:val="20"/>
          <w:color w:val="auto"/>
        </w:rPr>
        <w:tab/>
      </w:r>
      <w:r>
        <w:rPr>
          <w:rFonts w:ascii="Arial" w:cs="Arial" w:eastAsia="Arial" w:hAnsi="Arial"/>
          <w:sz w:val="18"/>
          <w:szCs w:val="18"/>
          <w:color w:val="auto"/>
        </w:rPr>
        <w:t>2,387,303</w:t>
      </w:r>
    </w:p>
    <w:p>
      <w:pPr>
        <w:spacing w:after="0" w:line="9" w:lineRule="exact"/>
        <w:rPr>
          <w:sz w:val="20"/>
          <w:szCs w:val="20"/>
          <w:color w:val="auto"/>
        </w:rPr>
      </w:pPr>
    </w:p>
    <w:p>
      <w:pPr>
        <w:jc w:val="both"/>
        <w:ind w:left="5280"/>
        <w:spacing w:after="0"/>
        <w:tabs>
          <w:tab w:leader="none" w:pos="6480" w:val="left"/>
        </w:tabs>
        <w:rPr>
          <w:sz w:val="20"/>
          <w:szCs w:val="20"/>
          <w:color w:val="auto"/>
        </w:rPr>
      </w:pPr>
      <w:r>
        <w:rPr>
          <w:rFonts w:ascii="Arial" w:cs="Arial" w:eastAsia="Arial" w:hAnsi="Arial"/>
          <w:sz w:val="18"/>
          <w:szCs w:val="18"/>
          <w:color w:val="auto"/>
        </w:rPr>
        <w:t>80,727</w:t>
      </w:r>
      <w:r>
        <w:rPr>
          <w:sz w:val="20"/>
          <w:szCs w:val="20"/>
          <w:color w:val="auto"/>
        </w:rPr>
        <w:tab/>
      </w:r>
      <w:r>
        <w:rPr>
          <w:rFonts w:ascii="Arial" w:cs="Arial" w:eastAsia="Arial" w:hAnsi="Arial"/>
          <w:sz w:val="18"/>
          <w:szCs w:val="18"/>
          <w:color w:val="auto"/>
        </w:rPr>
        <w:t>235,647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156019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4960"/>
        <w:spacing w:after="0"/>
        <w:tabs>
          <w:tab w:leader="none" w:pos="6360" w:val="left"/>
        </w:tabs>
        <w:rPr>
          <w:sz w:val="20"/>
          <w:szCs w:val="20"/>
          <w:color w:val="auto"/>
        </w:rPr>
      </w:pPr>
      <w:r>
        <w:rPr>
          <w:rFonts w:ascii="Arial" w:cs="Arial" w:eastAsia="Arial" w:hAnsi="Arial"/>
          <w:sz w:val="18"/>
          <w:szCs w:val="18"/>
          <w:color w:val="auto"/>
        </w:rPr>
        <w:t>29,320,763</w:t>
      </w:r>
      <w:r>
        <w:rPr>
          <w:sz w:val="20"/>
          <w:szCs w:val="20"/>
          <w:color w:val="auto"/>
        </w:rPr>
        <w:tab/>
      </w:r>
      <w:r>
        <w:rPr>
          <w:rFonts w:ascii="Arial" w:cs="Arial" w:eastAsia="Arial" w:hAnsi="Arial"/>
          <w:sz w:val="18"/>
          <w:szCs w:val="18"/>
          <w:color w:val="auto"/>
        </w:rPr>
        <w:t>9,173,227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14605</wp:posOffset>
            </wp:positionV>
            <wp:extent cx="15601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43" w:lineRule="exact"/>
        <w:rPr>
          <w:sz w:val="20"/>
          <w:szCs w:val="20"/>
          <w:color w:val="auto"/>
        </w:rPr>
      </w:pPr>
    </w:p>
    <w:p>
      <w:pPr>
        <w:jc w:val="both"/>
        <w:ind w:left="4640"/>
        <w:spacing w:after="0"/>
        <w:tabs>
          <w:tab w:leader="none" w:pos="4940" w:val="left"/>
          <w:tab w:leader="none" w:pos="5960" w:val="left"/>
          <w:tab w:leader="none" w:pos="6260" w:val="left"/>
        </w:tabs>
        <w:rPr>
          <w:sz w:val="20"/>
          <w:szCs w:val="20"/>
          <w:color w:val="auto"/>
        </w:rPr>
      </w:pPr>
      <w:r>
        <w:rPr>
          <w:rFonts w:ascii="Arial" w:cs="Arial" w:eastAsia="Arial" w:hAnsi="Arial"/>
          <w:sz w:val="18"/>
          <w:szCs w:val="18"/>
          <w:u w:val="single" w:color="auto"/>
          <w:color w:val="auto"/>
        </w:rPr>
        <w:t>$</w:t>
        <w:tab/>
        <w:t>56,638,525</w:t>
        <w:tab/>
        <w:t>$</w:t>
      </w:r>
      <w:r>
        <w:rPr>
          <w:sz w:val="20"/>
          <w:szCs w:val="20"/>
          <w:color w:val="auto"/>
        </w:rPr>
        <w:tab/>
      </w:r>
      <w:r>
        <w:rPr>
          <w:rFonts w:ascii="Arial" w:cs="Arial" w:eastAsia="Arial" w:hAnsi="Arial"/>
          <w:sz w:val="16"/>
          <w:szCs w:val="16"/>
          <w:u w:val="single" w:color="auto"/>
          <w:color w:val="auto"/>
        </w:rPr>
        <w:t>25,054,578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40640</wp:posOffset>
            </wp:positionV>
            <wp:extent cx="156019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160"/>
          </w:cols>
          <w:pgMar w:left="320" w:top="904" w:right="379" w:bottom="1440" w:gutter="0" w:footer="0" w:header="0"/>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492,995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411,010</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1,800,635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1,300,882</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Revenue share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1,618,438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1,908,616</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115,431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Contingent purchase price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580,014</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610,625</w:t>
            </w:r>
          </w:p>
        </w:tc>
        <w:tc>
          <w:tcPr>
            <w:tcW w:w="60" w:type="dxa"/>
            <w:vAlign w:val="bottom"/>
          </w:tcPr>
          <w:p>
            <w:pPr>
              <w:spacing w:after="0"/>
              <w:rPr>
                <w:sz w:val="21"/>
                <w:szCs w:val="21"/>
                <w:color w:val="auto"/>
              </w:rPr>
            </w:pPr>
          </w:p>
        </w:tc>
      </w:tr>
      <w:tr>
        <w:trPr>
          <w:trHeight w:val="223"/>
        </w:trPr>
        <w:tc>
          <w:tcPr>
            <w:tcW w:w="8680" w:type="dxa"/>
            <w:vAlign w:val="bottom"/>
          </w:tcPr>
          <w:p>
            <w:pPr>
              <w:ind w:left="160"/>
              <w:spacing w:after="0" w:line="203"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6,107,513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4,231,133</w:t>
            </w:r>
          </w:p>
        </w:tc>
        <w:tc>
          <w:tcPr>
            <w:tcW w:w="6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Lease liabilities, net of current portion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448,753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Contingent purchase price payable, net of current portion</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5,220,000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21"/>
                <w:szCs w:val="21"/>
                <w:color w:val="auto"/>
              </w:rPr>
            </w:pPr>
          </w:p>
        </w:tc>
      </w:tr>
      <w:tr>
        <w:trPr>
          <w:trHeight w:val="223"/>
        </w:trPr>
        <w:tc>
          <w:tcPr>
            <w:tcW w:w="8680" w:type="dxa"/>
            <w:vAlign w:val="bottom"/>
          </w:tcPr>
          <w:p>
            <w:pPr>
              <w:ind w:left="140"/>
              <w:spacing w:after="0" w:line="203" w:lineRule="exact"/>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5,668,753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19"/>
                <w:szCs w:val="19"/>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11,776,266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6,596,133</w:t>
            </w:r>
          </w:p>
        </w:tc>
        <w:tc>
          <w:tcPr>
            <w:tcW w:w="60" w:type="dxa"/>
            <w:vAlign w:val="bottom"/>
          </w:tcPr>
          <w:p>
            <w:pPr>
              <w:spacing w:after="0"/>
              <w:rPr>
                <w:sz w:val="19"/>
                <w:szCs w:val="19"/>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 (See Note 15)</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w w:val="90"/>
              </w:rPr>
              <w:t>Preferred stock, $0.001 par value, 10,000,000 shares authorized, none issued and outstanding at December 31, 2019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and 2018,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w w:val="94"/>
              </w:rPr>
              <w:t>Common stock, $0.001 par value, 166,666,667 shares authorized, 14,600,579 and 12,038,618 shares issued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December 31, 2019 and 2018, respectively</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14,601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12,039</w:t>
            </w:r>
          </w:p>
        </w:tc>
        <w:tc>
          <w:tcPr>
            <w:tcW w:w="60" w:type="dxa"/>
            <w:vAlign w:val="bottom"/>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48,725,211</w:t>
            </w:r>
          </w:p>
        </w:tc>
        <w:tc>
          <w:tcPr>
            <w:tcW w:w="60" w:type="dxa"/>
            <w:vAlign w:val="bottom"/>
          </w:tcPr>
          <w:p>
            <w:pPr>
              <w:spacing w:after="0"/>
              <w:rPr>
                <w:sz w:val="18"/>
                <w:szCs w:val="18"/>
                <w:color w:val="auto"/>
              </w:rPr>
            </w:pPr>
          </w:p>
        </w:tc>
      </w:tr>
      <w:tr>
        <w:trPr>
          <w:trHeight w:val="251"/>
        </w:trPr>
        <w:tc>
          <w:tcPr>
            <w:tcW w:w="86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(33,424,610)</w:t>
            </w:r>
          </w:p>
        </w:tc>
        <w:tc>
          <w:tcPr>
            <w:tcW w:w="1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(30,278,805)</w:t>
            </w: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44,862,259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18,458,445</w:t>
            </w:r>
          </w:p>
        </w:tc>
        <w:tc>
          <w:tcPr>
            <w:tcW w:w="60" w:type="dxa"/>
            <w:vAlign w:val="bottom"/>
          </w:tcPr>
          <w:p>
            <w:pPr>
              <w:spacing w:after="0"/>
              <w:rPr>
                <w:sz w:val="19"/>
                <w:szCs w:val="19"/>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56,638,525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25,054,578</w:t>
            </w:r>
          </w:p>
        </w:tc>
        <w:tc>
          <w:tcPr>
            <w:tcW w:w="6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26" w:name="page27"/>
    <w:bookmarkEnd w:id="26"/>
    <w:p>
      <w:pPr>
        <w:jc w:val="center"/>
        <w:ind w:left="29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general and administrative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income from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(expense)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Loss (income) before 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outstanding – basic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outstanding – diluted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(Loss) income per share – basic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(Loss) income per share – diluted</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For the</w:t>
            </w:r>
          </w:p>
        </w:tc>
      </w:tr>
      <w:tr>
        <w:trPr>
          <w:trHeight w:val="216"/>
        </w:trPr>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year ended</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7"/>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r>
    </w:tbl>
    <w:p>
      <w:pPr>
        <w:spacing w:after="0" w:line="202" w:lineRule="exact"/>
        <w:rPr>
          <w:sz w:val="20"/>
          <w:szCs w:val="20"/>
          <w:color w:val="auto"/>
        </w:rPr>
      </w:pPr>
    </w:p>
    <w:p>
      <w:pPr>
        <w:ind w:left="325" w:hanging="325"/>
        <w:spacing w:after="0"/>
        <w:tabs>
          <w:tab w:leader="none" w:pos="325" w:val="left"/>
        </w:tabs>
        <w:numPr>
          <w:ilvl w:val="0"/>
          <w:numId w:val="13"/>
        </w:numPr>
        <w:rPr>
          <w:rFonts w:ascii="Arial" w:cs="Arial" w:eastAsia="Arial" w:hAnsi="Arial"/>
          <w:sz w:val="17"/>
          <w:szCs w:val="17"/>
          <w:color w:val="auto"/>
        </w:rPr>
      </w:pPr>
      <w:r>
        <w:rPr>
          <w:rFonts w:ascii="Arial" w:cs="Arial" w:eastAsia="Arial" w:hAnsi="Arial"/>
          <w:sz w:val="17"/>
          <w:szCs w:val="17"/>
          <w:color w:val="auto"/>
        </w:rPr>
        <w:t>24,598,274   $  21,206,363</w:t>
      </w:r>
    </w:p>
    <w:p>
      <w:pPr>
        <w:spacing w:after="0" w:line="34" w:lineRule="exact"/>
        <w:rPr>
          <w:rFonts w:ascii="Arial" w:cs="Arial" w:eastAsia="Arial" w:hAnsi="Arial"/>
          <w:sz w:val="17"/>
          <w:szCs w:val="17"/>
          <w:color w:val="auto"/>
        </w:rPr>
      </w:pPr>
    </w:p>
    <w:p>
      <w:pPr>
        <w:ind w:left="405"/>
        <w:spacing w:after="0"/>
        <w:rPr>
          <w:rFonts w:ascii="Arial" w:cs="Arial" w:eastAsia="Arial" w:hAnsi="Arial"/>
          <w:sz w:val="17"/>
          <w:szCs w:val="17"/>
          <w:color w:val="auto"/>
        </w:rPr>
      </w:pPr>
      <w:r>
        <w:rPr>
          <w:rFonts w:ascii="Arial" w:cs="Arial" w:eastAsia="Arial" w:hAnsi="Arial"/>
          <w:sz w:val="18"/>
          <w:szCs w:val="18"/>
          <w:color w:val="auto"/>
        </w:rPr>
        <w:t>9,158,699</w:t>
      </w:r>
      <w:r>
        <w:rPr>
          <w:rFonts w:ascii="Arial" w:cs="Arial" w:eastAsia="Arial" w:hAnsi="Arial"/>
          <w:sz w:val="16"/>
          <w:szCs w:val="16"/>
          <w:color w:val="auto"/>
        </w:rPr>
        <w:t>8,999,666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jc w:val="both"/>
        <w:ind w:left="325"/>
        <w:spacing w:after="0"/>
        <w:tabs>
          <w:tab w:leader="none" w:pos="1625" w:val="left"/>
        </w:tabs>
        <w:rPr>
          <w:sz w:val="20"/>
          <w:szCs w:val="20"/>
          <w:color w:val="auto"/>
        </w:rPr>
      </w:pPr>
      <w:r>
        <w:rPr>
          <w:rFonts w:ascii="Arial" w:cs="Arial" w:eastAsia="Arial" w:hAnsi="Arial"/>
          <w:sz w:val="18"/>
          <w:szCs w:val="18"/>
          <w:color w:val="auto"/>
        </w:rPr>
        <w:t>15,439,575</w:t>
      </w:r>
      <w:r>
        <w:rPr>
          <w:sz w:val="20"/>
          <w:szCs w:val="20"/>
          <w:color w:val="auto"/>
        </w:rPr>
        <w:tab/>
      </w:r>
      <w:r>
        <w:rPr>
          <w:rFonts w:ascii="Arial" w:cs="Arial" w:eastAsia="Arial" w:hAnsi="Arial"/>
          <w:sz w:val="18"/>
          <w:szCs w:val="18"/>
          <w:color w:val="auto"/>
        </w:rPr>
        <w:t>12,206,697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2,260,298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2,520,852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1,282,787</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316,502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15,590,054</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9,189,211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19,133,139</w:t>
            </w: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12,026,565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(3,693,564</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288,028</w:t>
            </w:r>
          </w:p>
        </w:tc>
        <w:tc>
          <w:tcPr>
            <w:tcW w:w="200" w:type="dxa"/>
            <w:vAlign w:val="bottom"/>
          </w:tcPr>
          <w:p>
            <w:pPr>
              <w:spacing w:after="0"/>
              <w:rPr>
                <w:sz w:val="24"/>
                <w:szCs w:val="24"/>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46,212</w:t>
            </w:r>
          </w:p>
        </w:tc>
        <w:tc>
          <w:tcPr>
            <w:tcW w:w="0" w:type="dxa"/>
            <w:vAlign w:val="bottom"/>
          </w:tcPr>
          <w:p>
            <w:pPr>
              <w:spacing w:after="0"/>
              <w:rPr>
                <w:sz w:val="1"/>
                <w:szCs w:val="1"/>
                <w:color w:val="auto"/>
              </w:rPr>
            </w:pPr>
          </w:p>
        </w:tc>
      </w:tr>
      <w:tr>
        <w:trPr>
          <w:trHeight w:val="251"/>
        </w:trPr>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(635,000)</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(346,972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(4,040,536)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226,344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897,960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(3,142,576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226,344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13,387,863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10,832,209</w:t>
            </w:r>
          </w:p>
        </w:tc>
        <w:tc>
          <w:tcPr>
            <w:tcW w:w="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13,387,863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11,862,991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01" w:lineRule="exact"/>
              <w:rPr>
                <w:sz w:val="20"/>
                <w:szCs w:val="20"/>
                <w:color w:val="auto"/>
              </w:rPr>
            </w:pPr>
            <w:r>
              <w:rPr>
                <w:rFonts w:ascii="Arial" w:cs="Arial" w:eastAsia="Arial" w:hAnsi="Arial"/>
                <w:sz w:val="18"/>
                <w:szCs w:val="18"/>
                <w:color w:val="auto"/>
              </w:rPr>
              <w:t>(0.23)</w:t>
            </w: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2">
            <w:col w:w="8280" w:space="395"/>
            <w:col w:w="2465"/>
          </w:cols>
          <w:pgMar w:left="320" w:top="904" w:right="4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Common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Stockholders’</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Warrants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Balance, December 31, 2017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9,772,694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9,773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1,286,424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35,287,464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(30,363,122)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7"/>
              </w:rPr>
              <w:t>Cumulative effect of change in accounting</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w w:val="99"/>
              </w:rPr>
              <w:t>principle related to revenue recognition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(142,027)</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(142,027)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1,863,911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for services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51,494</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656,883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for cash</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1,666,669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8,162,807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8,164,474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for options 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165,169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521,105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for warrants 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251,046</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(1,286,424)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1,286,173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Shares issued for acquisition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30,638</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499,969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3"/>
              </w:rPr>
              <w:t>Shares issued in payment of revenue share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446,900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4"/>
              </w:rPr>
              <w:t>Additional shares issued in connection with</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reverse split due to rounding</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226,344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226,344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vMerge w:val="restart"/>
          </w:tcPr>
          <w:p>
            <w:pPr>
              <w:spacing w:after="0"/>
              <w:rPr>
                <w:sz w:val="20"/>
                <w:szCs w:val="20"/>
                <w:color w:val="auto"/>
              </w:rPr>
            </w:pPr>
            <w:r>
              <w:rPr>
                <w:rFonts w:ascii="Arial" w:cs="Arial" w:eastAsia="Arial" w:hAnsi="Arial"/>
                <w:sz w:val="18"/>
                <w:szCs w:val="18"/>
                <w:color w:val="auto"/>
              </w:rPr>
              <w:t>Balance, December 31, 2018</w:t>
            </w: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12,038,618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(30,278,805</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18,458,445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Paid-in</w:t>
            </w:r>
          </w:p>
        </w:tc>
        <w:tc>
          <w:tcPr>
            <w:tcW w:w="1320" w:type="dxa"/>
            <w:vAlign w:val="bottom"/>
            <w:gridSpan w:val="3"/>
          </w:tcPr>
          <w:p>
            <w:pPr>
              <w:jc w:val="right"/>
              <w:ind w:right="221"/>
              <w:spacing w:after="0"/>
              <w:rPr>
                <w:sz w:val="20"/>
                <w:szCs w:val="20"/>
                <w:color w:val="auto"/>
              </w:rPr>
            </w:pPr>
            <w:r>
              <w:rPr>
                <w:rFonts w:ascii="Arial" w:cs="Arial" w:eastAsia="Arial" w:hAnsi="Arial"/>
                <w:sz w:val="18"/>
                <w:szCs w:val="18"/>
                <w:color w:val="auto"/>
                <w:w w:val="96"/>
              </w:rPr>
              <w:t>Accumulated</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12,038,618,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w w:val="95"/>
              </w:rPr>
              <w:t>(30,278,805)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18,458,445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related to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3"/>
              </w:rPr>
              <w:t>Shares issued in 2019 for restricted stock awards granted and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expensed in 2018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130,001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Options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1,687,745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125,160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33,344</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447,360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447,393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cash</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1,769,275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21,302,057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21,303,826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for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246,448</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877,455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877,702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acquisition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382,893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5,107,410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5,107,793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 for the year</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(3,142,576)</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(3,142,576)</w:t>
            </w: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Arial" w:cs="Arial" w:eastAsia="Arial" w:hAnsi="Arial"/>
                <w:sz w:val="18"/>
                <w:szCs w:val="18"/>
                <w:color w:val="auto"/>
              </w:rPr>
              <w:t>Balance, December 31, 2019</w:t>
            </w: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14,600,579</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14,601</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(33,424,610</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44,862,259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060" w:type="dxa"/>
            <w:vAlign w:val="bottom"/>
            <w:gridSpan w:val="3"/>
          </w:tcPr>
          <w:p>
            <w:pPr>
              <w:jc w:val="center"/>
              <w:ind w:right="181"/>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Arial" w:cs="Arial" w:eastAsia="Arial" w:hAnsi="Arial"/>
                <w:sz w:val="18"/>
                <w:szCs w:val="18"/>
                <w:color w:val="auto"/>
                <w:w w:val="88"/>
              </w:rPr>
              <w:t>year ended</w:t>
            </w:r>
          </w:p>
        </w:tc>
        <w:tc>
          <w:tcPr>
            <w:tcW w:w="120" w:type="dxa"/>
            <w:vAlign w:val="bottom"/>
          </w:tcPr>
          <w:p>
            <w:pPr>
              <w:spacing w:after="0"/>
              <w:rPr>
                <w:sz w:val="18"/>
                <w:szCs w:val="18"/>
                <w:color w:val="auto"/>
              </w:rPr>
            </w:pPr>
          </w:p>
        </w:tc>
        <w:tc>
          <w:tcPr>
            <w:tcW w:w="1060" w:type="dxa"/>
            <w:vAlign w:val="bottom"/>
            <w:gridSpan w:val="3"/>
          </w:tcPr>
          <w:p>
            <w:pPr>
              <w:jc w:val="center"/>
              <w:ind w:right="201"/>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Arial" w:cs="Arial" w:eastAsia="Arial" w:hAnsi="Arial"/>
                <w:sz w:val="18"/>
                <w:szCs w:val="18"/>
                <w:color w:val="auto"/>
                <w:w w:val="88"/>
              </w:rPr>
              <w:t>December 31,</w:t>
            </w:r>
          </w:p>
        </w:tc>
        <w:tc>
          <w:tcPr>
            <w:tcW w:w="1180" w:type="dxa"/>
            <w:vAlign w:val="bottom"/>
            <w:gridSpan w:val="4"/>
          </w:tcPr>
          <w:p>
            <w:pPr>
              <w:ind w:left="40"/>
              <w:spacing w:after="0"/>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(loss) income for the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(3,142,576)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1,175,131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316,502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107,656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bad debt reserve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2,401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2,260,298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2,520,845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(897,960)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635,000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(628,830)</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(2,789,252)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(343,838)</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(319,754)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(46,249)</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(83,319)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(290,178)</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730,810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(432,075)</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226,535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(106,564)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(30,611)</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(38,557)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(1,660,796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792,555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(87,717)</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intangible assets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Cash paid in acquisition, net of cash acquired</w:t>
            </w:r>
          </w:p>
        </w:tc>
        <w:tc>
          <w:tcPr>
            <w:tcW w:w="120" w:type="dxa"/>
            <w:vAlign w:val="bottom"/>
          </w:tcPr>
          <w:p>
            <w:pPr>
              <w:spacing w:after="0"/>
              <w:rPr>
                <w:sz w:val="21"/>
                <w:szCs w:val="21"/>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(8,994,369)</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(5,595,820)</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(10,582,086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(5,686,833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offering costs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21,303,826</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8,164,475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877,702</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521,264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22,181,528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8,685,739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9,938,646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3,791,461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tcPr>
          <w:p>
            <w:pPr>
              <w:spacing w:after="0"/>
              <w:rPr>
                <w:sz w:val="21"/>
                <w:szCs w:val="21"/>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8,914,034</w:t>
            </w:r>
          </w:p>
        </w:tc>
        <w:tc>
          <w:tcPr>
            <w:tcW w:w="12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5,122,573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18,852,680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8,914,034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Exercise of stock warrants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1,286,424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Issuance of shares for restricted stock awards in 2019 for awards expensed in 2018</w:t>
            </w: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207,559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Common stock issued for debt</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Shares issued in connection with acquisitions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5,107,793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142,027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OptimizeRx Corporation is a digital health company focused on connecting life sciences companies to their clients with critical content at the point-of-care. It provides electronic clinical information via electronic health record companies (EHRs) to the medical profession, providing a direct channel for pharmaceutical companies to communicate with healthcare providers. The Company’s cloud-based solution supports patient adherence to medications by providing real-time access to financial assistance, prior authorization, and critical clinical information. The Company’s network is comprised of leading EHR platforms and provides more than half of the ambulatory patient market with access to these benefits within their workflow at the point-of-care.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valuation allowance for the deferred tax asset, the timing of revenue recognition and related revenue share expenses, and inputs used in the calculation of stock based compensation. Actual results could differ from these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financial statements reflect the consolidated results of OptimizeRx Corporation, a Nevada corporation, and its wholly owned subsidiaries: OptimizeRx Corporation, a Michigan corporation, RMDY Health, Inc., a Delaware corporation, CareSpeak Communications, Inc., a New Jersey corporation, Cyberdiet, a controlled foreign corporation incorporated in Israel, and CareSpeak Communications D.O.O., a Controlled Foreign Corporation incorporated in Croatia. Together, these companies are referred to as “OptimizeRx” and “the Company.” All material intercompany transactions have been eliminated.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previous year financial statements have been reclassified to match the current year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consisting of money market accounts, with an initial maturity of three months or less to be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values and carrying values of the Company’s financial assets and liabilities measured on a recurring basis as of December 31, 2019 and 2018 and the valuation techniques used by the Company to determine those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46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0"/>
              </w:rPr>
              <w:t>Carrying Value</w:t>
            </w:r>
          </w:p>
        </w:tc>
        <w:tc>
          <w:tcPr>
            <w:tcW w:w="2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Contingent Purchase Price Payable (1)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6,720,000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6,720,000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6,720,000</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4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6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Level 3</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w w:val="90"/>
              </w:rPr>
              <w:t>Carrying Value</w:t>
            </w:r>
          </w:p>
        </w:tc>
        <w:tc>
          <w:tcPr>
            <w:tcW w:w="2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Liabilities</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Contingent Purchase Price Payable (1)</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2,365,000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2,365,000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2,365,000</w:t>
            </w:r>
          </w:p>
        </w:tc>
      </w:tr>
      <w:tr>
        <w:trPr>
          <w:trHeight w:val="20"/>
        </w:trPr>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contingent consideration is based off achieving certain revenue milestones in each of the next two years. The Geometric-Brownian motion analysis was used to generate spot prices for use in an option pricing model. For 2018, the hypothetical spot prices were simulated using a monte carlo simulation utilizing 2018 revenue as a base and revenue volatility of 37%. The risk-free rate of return and terms utilized were 2.89% and 1.46-2.46, respectively, and expected volatility was 35%. For 2019, the hypothetical spot prices were simulated using a monte carlo simulation utilizing 2020 and 2021 revenue projections and revenue volatility of 40%. The risk-free rate of return and terms utilized were 1.40% and 1 -2 years, respectively, and expected volatility was 40%.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summary of changes in fair value of the Company’s Level 3 financial instruments for the years ended December 31, 2019 and 2018.</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liability recorded as the result of the CareSpeak Communications acquisition (see note 3)</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Increase in fair value of CareSpeak Communications contingent consideration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Contingent consideration liability recorded as the result of the RMDY Health, Inc. acquisition (see note 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2019</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55"/>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029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 w:lineRule="exact"/>
        <w:rPr>
          <w:sz w:val="20"/>
          <w:szCs w:val="20"/>
          <w:color w:val="auto"/>
        </w:rPr>
      </w:pPr>
    </w:p>
    <w:p>
      <w:pPr>
        <w:ind w:left="1055" w:hanging="1055"/>
        <w:spacing w:after="0"/>
        <w:tabs>
          <w:tab w:leader="none" w:pos="10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395"/>
        <w:spacing w:after="0"/>
        <w:rPr>
          <w:rFonts w:ascii="Arial" w:cs="Arial" w:eastAsia="Arial" w:hAnsi="Arial"/>
          <w:sz w:val="18"/>
          <w:szCs w:val="18"/>
          <w:color w:val="auto"/>
        </w:rPr>
      </w:pPr>
      <w:r>
        <w:rPr>
          <w:rFonts w:ascii="Arial" w:cs="Arial" w:eastAsia="Arial" w:hAnsi="Arial"/>
          <w:sz w:val="16"/>
          <w:szCs w:val="16"/>
          <w:color w:val="auto"/>
        </w:rPr>
        <w:t>2,365,000</w:t>
      </w:r>
    </w:p>
    <w:p>
      <w:pPr>
        <w:spacing w:after="0" w:line="58" w:lineRule="exact"/>
        <w:rPr>
          <w:rFonts w:ascii="Arial" w:cs="Arial" w:eastAsia="Arial" w:hAnsi="Arial"/>
          <w:sz w:val="18"/>
          <w:szCs w:val="18"/>
          <w:color w:val="auto"/>
        </w:rPr>
      </w:pPr>
    </w:p>
    <w:p>
      <w:pPr>
        <w:ind w:left="395"/>
        <w:spacing w:after="0"/>
        <w:rPr>
          <w:rFonts w:ascii="Arial" w:cs="Arial" w:eastAsia="Arial" w:hAnsi="Arial"/>
          <w:sz w:val="18"/>
          <w:szCs w:val="18"/>
          <w:color w:val="auto"/>
        </w:rPr>
      </w:pPr>
      <w:r>
        <w:rPr>
          <w:rFonts w:ascii="Arial" w:cs="Arial" w:eastAsia="Arial" w:hAnsi="Arial"/>
          <w:sz w:val="16"/>
          <w:szCs w:val="16"/>
          <w:color w:val="auto"/>
        </w:rPr>
        <w:t>2,365,000</w:t>
      </w:r>
    </w:p>
    <w:p>
      <w:pPr>
        <w:spacing w:after="0" w:line="46" w:lineRule="exact"/>
        <w:rPr>
          <w:rFonts w:ascii="Arial" w:cs="Arial" w:eastAsia="Arial" w:hAnsi="Arial"/>
          <w:sz w:val="18"/>
          <w:szCs w:val="18"/>
          <w:color w:val="auto"/>
        </w:rPr>
      </w:pPr>
    </w:p>
    <w:p>
      <w:pPr>
        <w:ind w:left="515"/>
        <w:spacing w:after="0"/>
        <w:rPr>
          <w:rFonts w:ascii="Arial" w:cs="Arial" w:eastAsia="Arial" w:hAnsi="Arial"/>
          <w:sz w:val="18"/>
          <w:szCs w:val="18"/>
          <w:color w:val="auto"/>
        </w:rPr>
      </w:pPr>
      <w:r>
        <w:rPr>
          <w:rFonts w:ascii="Arial" w:cs="Arial" w:eastAsia="Arial" w:hAnsi="Arial"/>
          <w:sz w:val="16"/>
          <w:szCs w:val="16"/>
          <w:color w:val="auto"/>
        </w:rPr>
        <w:t>635,000</w:t>
      </w:r>
    </w:p>
    <w:p>
      <w:pPr>
        <w:spacing w:after="0" w:line="32" w:lineRule="exact"/>
        <w:rPr>
          <w:rFonts w:ascii="Arial" w:cs="Arial" w:eastAsia="Arial" w:hAnsi="Arial"/>
          <w:sz w:val="18"/>
          <w:szCs w:val="18"/>
          <w:color w:val="auto"/>
        </w:rPr>
      </w:pPr>
    </w:p>
    <w:p>
      <w:pPr>
        <w:ind w:left="395"/>
        <w:spacing w:after="0"/>
        <w:rPr>
          <w:rFonts w:ascii="Arial" w:cs="Arial" w:eastAsia="Arial" w:hAnsi="Arial"/>
          <w:sz w:val="18"/>
          <w:szCs w:val="18"/>
          <w:color w:val="auto"/>
        </w:rPr>
      </w:pPr>
      <w:r>
        <w:rPr>
          <w:rFonts w:ascii="Arial" w:cs="Arial" w:eastAsia="Arial" w:hAnsi="Arial"/>
          <w:sz w:val="16"/>
          <w:szCs w:val="16"/>
          <w:color w:val="auto"/>
        </w:rPr>
        <w:t>3,720,000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70294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5" w:lineRule="exact"/>
        <w:rPr>
          <w:sz w:val="20"/>
          <w:szCs w:val="20"/>
          <w:color w:val="auto"/>
        </w:rPr>
      </w:pPr>
    </w:p>
    <w:p>
      <w:pPr>
        <w:ind w:left="395" w:hanging="395"/>
        <w:spacing w:after="0"/>
        <w:tabs>
          <w:tab w:leader="none" w:pos="395" w:val="left"/>
        </w:tabs>
        <w:numPr>
          <w:ilvl w:val="0"/>
          <w:numId w:val="1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6,720,000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$80,000 for the year ended December 31, 2019 and $0 for the year ended December 31, 2018. The allowance for doubtful accounts was $80,000 and $0 as of December 31, 2019 and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Intangible assets are stated at cost. Finite-lived assets are being amortized over their estimated useful lives of fifteen to seventeen years for patents, eight years for customer relationships, fifteen years for tradenames, four years for covenants not to compete, and three to four years for software and websites, all using the straight-line method. These assets, as well as our indefinite-lived asset, are evaluated annually in our fiscal fourth quarter for impairment.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evaluate goodwill for impairment during our fiscal fourth quarter, or more frequently if an event occurs or circumstances change.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Unless otherwise specified, revenue is recognized based on the gross selling price to customers.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contracts are generally all less than one year and the primary performance obligation is delivery of messages, but the contract may contain additional performance obligations. Additional performance obligations may include program design and set up, and reporting.</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messaging is distributed through the platform and network of channel partners (a transaction), these transactions are recorded, and revenue is recognized, at the time of distribution.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situation. Should a program be cancelled before completion, the balance of set up revenue is recognized at the time of cancellation, as set up fees are nonrefundable.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 at the time of delivery.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cost of revenue is revenue share expense. Based on the volume of transactions that are delivered through the channel partner network, the Company provides a revenue share to compensate the partner, or others, for their promotion of the campaign. Revenue shares are a negotiated percentage of the transaction fees and can also be specific to special considerations and campaigns.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2019 and 2018 the Company had $18,047,903 and $8,414,034, respectively, in cash balances in excess of federally insured limits, primarily at Bank of America/Merrill Lynch.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expenses research and development expenses as incurred. Research and development expense was $1,604,195 and $0 in 2019 and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forfeitures, and to determine this term. The risk-free rate used is based on the U.S. Treasury yield curve in effect at the time of the grant using a time period equal to the expected option term. The Company has never paid dividends and does not expect to pay any dividends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NOTE 2 – SUMMARY OF SIGNIFICANT ACCOUNTING POLICIES (CONTINUED)</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9"/>
        </w:trPr>
        <w:tc>
          <w:tcPr>
            <w:tcW w:w="8140" w:type="dxa"/>
            <w:vAlign w:val="bottom"/>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4"/>
                <w:szCs w:val="24"/>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4"/>
                <w:szCs w:val="24"/>
                <w:color w:val="auto"/>
              </w:rPr>
            </w:pPr>
          </w:p>
        </w:tc>
      </w:tr>
      <w:tr>
        <w:trPr>
          <w:trHeight w:val="418"/>
        </w:trPr>
        <w:tc>
          <w:tcPr>
            <w:tcW w:w="8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1.51% - 2.37%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1.96% - 2.84%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Expected option term</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3.5 years</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3.5 - 5 years</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64% - 67%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 - 66%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The Company’s stock options have characteristics significantly different from those of traded options, and changes in the subjective input assumptions could materially affect the fair value estimate.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Earnings Per Common and Common Equivalent Share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computation of basic (loss) earnings per common share is computed using the weighted average number of common shares outstanding during the year. The computation of diluted (loss) earnings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potentially issuable upon the exercise of certain options that were excluded from the diluted loss per common share calculation in 2019 was 891,224 related to options, and 59,918 related to restricted stock, for a total of 951,142 because they are anti-dilutive, as a result of a net loss for the year ended December 31, 2019.</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computation of weighted average shares outstanding and the basic and diluted earnings per common share for the years ended December 31, 2019 and 2018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Per Share</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Net (Loss)</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Year ended December 31, 2019</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line="271" w:lineRule="exact"/>
              <w:rPr>
                <w:sz w:val="20"/>
                <w:szCs w:val="20"/>
                <w:color w:val="auto"/>
              </w:rPr>
            </w:pPr>
            <w:r>
              <w:rPr>
                <w:rFonts w:ascii="Arial" w:cs="Arial" w:eastAsia="Arial" w:hAnsi="Arial"/>
                <w:sz w:val="17"/>
                <w:szCs w:val="17"/>
                <w:color w:val="auto"/>
              </w:rPr>
              <w:t>(3,142,576</w:t>
            </w:r>
            <w:r>
              <w:rPr>
                <w:rFonts w:ascii="Arial" w:cs="Arial" w:eastAsia="Arial" w:hAnsi="Arial"/>
                <w:sz w:val="31"/>
                <w:szCs w:val="31"/>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13,387,863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320" w:type="dxa"/>
            <w:vAlign w:val="bottom"/>
          </w:tcPr>
          <w:p>
            <w:pPr>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(3,142,576</w:t>
            </w:r>
            <w:r>
              <w:rPr>
                <w:rFonts w:ascii="Arial" w:cs="Arial" w:eastAsia="Arial" w:hAnsi="Arial"/>
                <w:sz w:val="35"/>
                <w:szCs w:val="35"/>
                <w:color w:val="auto"/>
                <w:vertAlign w:val="superscript"/>
              </w:rPr>
              <w:t>)</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13,387,863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(0.23</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83"/>
              </w:rPr>
              <w:t>Per Share</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Net Income</w:t>
            </w: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Year ended December 31, 2018:</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32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226,344</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10,832,209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180"/>
              <w:spacing w:after="0"/>
              <w:rPr>
                <w:sz w:val="20"/>
                <w:szCs w:val="20"/>
                <w:color w:val="auto"/>
              </w:rPr>
            </w:pPr>
            <w:r>
              <w:rPr>
                <w:rFonts w:ascii="Arial" w:cs="Arial" w:eastAsia="Arial" w:hAnsi="Arial"/>
                <w:sz w:val="18"/>
                <w:szCs w:val="18"/>
                <w:color w:val="auto"/>
              </w:rPr>
              <w:t>Effect of dilutive stock options and warrants</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w w:val="87"/>
              </w:rPr>
              <w:t>1,030,782</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7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7320" w:type="dxa"/>
            <w:vAlign w:val="bottom"/>
          </w:tcPr>
          <w:p>
            <w:pPr>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226,344</w:t>
            </w:r>
          </w:p>
        </w:tc>
        <w:tc>
          <w:tcPr>
            <w:tcW w:w="1320" w:type="dxa"/>
            <w:vAlign w:val="bottom"/>
            <w:gridSpan w:val="2"/>
          </w:tcPr>
          <w:p>
            <w:pPr>
              <w:ind w:left="300"/>
              <w:spacing w:after="0"/>
              <w:rPr>
                <w:sz w:val="20"/>
                <w:szCs w:val="20"/>
                <w:color w:val="auto"/>
              </w:rPr>
            </w:pPr>
            <w:r>
              <w:rPr>
                <w:rFonts w:ascii="Arial" w:cs="Arial" w:eastAsia="Arial" w:hAnsi="Arial"/>
                <w:sz w:val="18"/>
                <w:szCs w:val="18"/>
                <w:color w:val="auto"/>
              </w:rPr>
              <w:t>11,862,991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Under ASU No. 2016-02, the Company recognizes most leases on its balance sheet as lease liabilities with corresponding right-of-use assets. ASU No. 2016-02 was effective for fiscal years beginning after December 15, 2018. The Company adopted ASU No. 2016-02 on January 1, 2019. See Note 13 “Leases” for information regarding this standard and its adoption.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ASU No. 2017-04 was issued to simplify the accounting for goodwill impairment. ASU No. 2017-04 removes the second step of the goodwill impairment test, which requires that a hypothetical purchase price allocation be performed to determine the amount of impairment, if any. Under ASU No. 2017-04, a goodwill impairment charge will be based on the amount by which a reporting unit’s carrying value exceeds its fair value, not to exceed the carrying amount of goodwill. ASU No. 2017-04 became effective on a prospective basis for the Company on January 1, 2020. The adoption of this standard did not have a material effect on the Company’s financial position, results of operations or cash flows.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June 2016, the FASB issued ASU No. 2016-13</w:t>
      </w:r>
      <w:r>
        <w:rPr>
          <w:rFonts w:ascii="Arial" w:cs="Arial" w:eastAsia="Arial" w:hAnsi="Arial"/>
          <w:sz w:val="16"/>
          <w:szCs w:val="16"/>
          <w:i w:val="1"/>
          <w:iCs w:val="1"/>
          <w:color w:val="auto"/>
        </w:rPr>
        <w:t>, Financial Instruments-Credit Losses</w:t>
      </w:r>
      <w:r>
        <w:rPr>
          <w:rFonts w:ascii="Arial" w:cs="Arial" w:eastAsia="Arial" w:hAnsi="Arial"/>
          <w:sz w:val="16"/>
          <w:szCs w:val="16"/>
          <w:color w:val="auto"/>
        </w:rPr>
        <w:t xml:space="preserve"> (Topic 326)</w:t>
      </w:r>
      <w:r>
        <w:rPr>
          <w:rFonts w:ascii="Arial" w:cs="Arial" w:eastAsia="Arial" w:hAnsi="Arial"/>
          <w:sz w:val="16"/>
          <w:szCs w:val="16"/>
          <w:i w:val="1"/>
          <w:iCs w:val="1"/>
          <w:color w:val="auto"/>
        </w:rPr>
        <w:t>,</w:t>
      </w:r>
      <w:r>
        <w:rPr>
          <w:rFonts w:ascii="Arial" w:cs="Arial" w:eastAsia="Arial" w:hAnsi="Arial"/>
          <w:sz w:val="16"/>
          <w:szCs w:val="16"/>
          <w:color w:val="auto"/>
        </w:rPr>
        <w:t xml:space="preserve"> which introduces the Current Expected Credit Losses (“CECL”) accounting model.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ASU No. 2016-13 is effective for the Company on January 1, 2020. The adoption of this standard will not have a material effect on the Company’s financial position, results of operations or cash flows.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We do not expect the adoption of ASU 2019-12 to have a material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17, 2018, we acquired CareSpeak Communications, Inc., a New Jersey corporation and technology solutions company, which provides digital messaging services to the healthcare industry to expand our service offerings. Through its cloud based Mobile Health Messenger (“MHM”) Platform, CareSpeak provides interactive health messaging for improved medication adherence, care coordination, and patient engagement. The total purchase price was $8,493,451. Acquisition costs of approximately $607,670 were expensed as incurred.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ACQUISITION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contains a contingent element that will be paid only if the Company achieves certain patient engagement revenues in 2019 and 2020. The total contingent payment may be up to $3.0 million. The target patient engagement revenues were achieved in 2019 and are expected to be achieved in 2020. The calculated fair value of the contingent payment is $3,000,000 at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purchase price of the CareSpeak acquisition was allocated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5,628,451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Contingent payment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20" w:type="dxa"/>
            <w:vAlign w:val="bottom"/>
          </w:tcPr>
          <w:p>
            <w:pPr>
              <w:ind w:left="36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8,493,451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Allocation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Goodwill, including assembled workforce in place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3,678,513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Patent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Current liabilities assumed</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(125,812)</w:t>
            </w:r>
          </w:p>
        </w:tc>
        <w:tc>
          <w:tcPr>
            <w:tcW w:w="0" w:type="dxa"/>
            <w:vAlign w:val="bottom"/>
          </w:tcPr>
          <w:p>
            <w:pPr>
              <w:spacing w:after="0"/>
              <w:rPr>
                <w:sz w:val="1"/>
                <w:szCs w:val="1"/>
                <w:color w:val="auto"/>
              </w:rPr>
            </w:pPr>
          </w:p>
        </w:tc>
      </w:tr>
      <w:tr>
        <w:trPr>
          <w:trHeight w:val="250"/>
        </w:trPr>
        <w:tc>
          <w:tcPr>
            <w:tcW w:w="10020" w:type="dxa"/>
            <w:vAlign w:val="bottom"/>
          </w:tcPr>
          <w:p>
            <w:pPr>
              <w:ind w:left="540"/>
              <w:spacing w:after="0" w:line="203"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8,493,451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greater detail in Note 6, the amortizable intangible assets acquired have estimated useful lives ranging from 4 to 15 years. We determined the estimated fair value of the identifiable intangible assets acquired primarily by using the income approach.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2019, we acquired RMDY Health, Inc. (“RMDY”), a Delaware corporation and technology solutions company engaged in developing and marketing digital health SAAS solutions across a range of healthcare and life science initiatives, used by pharmaceutical companies, payers, medtech companies, and medical associations nationwide to improve medication adherence and care coordination. The total purchase price was $17,822,162. Acquisition costs of approximately $799,623 were expensed as incurred.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price contains a contingent element that will be paid only if the Company achieves certain revenues related to the legacy RMDY business in 2020 and 2021. The total contingent payment may be up to $30.0 million, with a minimum payment of $1.0 million each year. The calculated fair value of the contingent payment is $3,720,000 at December 31,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rPr>
              <w:t>OPTIMIZERx CORPORATION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DECEMBER 31, 2019</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NOTE 3 – ACQUISITION (CONTINUED)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purchase price of the RMDY acquisition was allocated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Purchase Price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8,994,369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Common stock issued</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5,107,793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Contingent payment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2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17,822,162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Allocation</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10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Prepaid Expense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Goodwill, including assembled workforce in place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11,061,518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Web technology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Current liabilities assumed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(128,234)</w:t>
            </w:r>
          </w:p>
        </w:tc>
        <w:tc>
          <w:tcPr>
            <w:tcW w:w="0" w:type="dxa"/>
            <w:vAlign w:val="bottom"/>
          </w:tcPr>
          <w:p>
            <w:pPr>
              <w:spacing w:after="0"/>
              <w:rPr>
                <w:sz w:val="1"/>
                <w:szCs w:val="1"/>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(931,828)</w:t>
            </w:r>
          </w:p>
        </w:tc>
        <w:tc>
          <w:tcPr>
            <w:tcW w:w="0" w:type="dxa"/>
            <w:vAlign w:val="bottom"/>
          </w:tcPr>
          <w:p>
            <w:pPr>
              <w:spacing w:after="0"/>
              <w:rPr>
                <w:sz w:val="1"/>
                <w:szCs w:val="1"/>
                <w:color w:val="auto"/>
              </w:rPr>
            </w:pP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(897,960)</w:t>
            </w:r>
          </w:p>
        </w:tc>
        <w:tc>
          <w:tcPr>
            <w:tcW w:w="0" w:type="dxa"/>
            <w:vAlign w:val="bottom"/>
          </w:tcPr>
          <w:p>
            <w:pPr>
              <w:spacing w:after="0"/>
              <w:rPr>
                <w:sz w:val="1"/>
                <w:szCs w:val="1"/>
                <w:color w:val="auto"/>
              </w:rPr>
            </w:pPr>
          </w:p>
        </w:tc>
      </w:tr>
      <w:tr>
        <w:trPr>
          <w:trHeight w:val="250"/>
        </w:trPr>
        <w:tc>
          <w:tcPr>
            <w:tcW w:w="10020" w:type="dxa"/>
            <w:vAlign w:val="bottom"/>
          </w:tcPr>
          <w:p>
            <w:pPr>
              <w:ind w:left="50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17,822,162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greater detail in Note 6, the amortizable intangible assets acquired have estimated useful lives ranging from 2 to 15 years. We determined the estimated fair value of the identifiable intangible assets acquired primarily by using the income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Included in accrued expenses is $800,000 withheld at closing as part of an indemnification provision against potential future claims.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began consolidating the results of CareSpeak operations and cashflows into our consolidated financial statements after October 17, 2018, the date of acquisition and the results of RMDY operations and cashflows after October 3, 2019, the date of that acquisition. The unaudited Pro forma results of operations as if both acquisitions had occurred January 1, 2018 are presented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81"/>
              <w:spacing w:after="0"/>
              <w:rPr>
                <w:sz w:val="20"/>
                <w:szCs w:val="20"/>
                <w:color w:val="auto"/>
              </w:rPr>
            </w:pPr>
            <w:r>
              <w:rPr>
                <w:rFonts w:ascii="Arial" w:cs="Arial" w:eastAsia="Arial" w:hAnsi="Arial"/>
                <w:sz w:val="18"/>
                <w:szCs w:val="18"/>
                <w:color w:val="auto"/>
                <w:w w:val="89"/>
              </w:rPr>
              <w:t>As Reported</w:t>
            </w:r>
          </w:p>
        </w:tc>
        <w:tc>
          <w:tcPr>
            <w:tcW w:w="120" w:type="dxa"/>
            <w:vAlign w:val="bottom"/>
          </w:tcPr>
          <w:p>
            <w:pPr>
              <w:spacing w:after="0"/>
              <w:rPr>
                <w:sz w:val="20"/>
                <w:szCs w:val="20"/>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w w:val="94"/>
              </w:rPr>
              <w:t>Pro Forma</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As Reported</w:t>
            </w:r>
          </w:p>
        </w:tc>
        <w:tc>
          <w:tcPr>
            <w:tcW w:w="14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1"/>
              </w:rPr>
              <w:t>Pro Forma</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24,598,278</w:t>
            </w:r>
          </w:p>
        </w:tc>
        <w:tc>
          <w:tcPr>
            <w:tcW w:w="2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26,118,278</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21,206,363</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24,520,995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(3,142,576)</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(3,869,577)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226,344</w:t>
            </w:r>
          </w:p>
        </w:tc>
        <w:tc>
          <w:tcPr>
            <w:tcW w:w="1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(564,340)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Earnings per common share: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line="271" w:lineRule="exact"/>
              <w:rPr>
                <w:sz w:val="20"/>
                <w:szCs w:val="20"/>
                <w:color w:val="auto"/>
              </w:rPr>
            </w:pPr>
            <w:r>
              <w:rPr>
                <w:rFonts w:ascii="Arial" w:cs="Arial" w:eastAsia="Arial" w:hAnsi="Arial"/>
                <w:sz w:val="17"/>
                <w:szCs w:val="17"/>
                <w:color w:val="auto"/>
              </w:rPr>
              <w:t>(0.23</w:t>
            </w:r>
            <w:r>
              <w:rPr>
                <w:rFonts w:ascii="Arial" w:cs="Arial" w:eastAsia="Arial" w:hAnsi="Arial"/>
                <w:sz w:val="31"/>
                <w:szCs w:val="3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line="271" w:lineRule="exact"/>
              <w:rPr>
                <w:sz w:val="20"/>
                <w:szCs w:val="20"/>
                <w:color w:val="auto"/>
              </w:rPr>
            </w:pPr>
            <w:r>
              <w:rPr>
                <w:rFonts w:ascii="Arial" w:cs="Arial" w:eastAsia="Arial" w:hAnsi="Arial"/>
                <w:sz w:val="17"/>
                <w:szCs w:val="17"/>
                <w:color w:val="auto"/>
              </w:rPr>
              <w:t>(0.29</w:t>
            </w:r>
            <w:r>
              <w:rPr>
                <w:rFonts w:ascii="Arial" w:cs="Arial" w:eastAsia="Arial" w:hAnsi="Arial"/>
                <w:sz w:val="31"/>
                <w:szCs w:val="31"/>
                <w:color w:val="auto"/>
                <w:vertAlign w:val="superscript"/>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line="271" w:lineRule="exact"/>
              <w:rPr>
                <w:sz w:val="20"/>
                <w:szCs w:val="20"/>
                <w:color w:val="auto"/>
              </w:rPr>
            </w:pPr>
            <w:r>
              <w:rPr>
                <w:rFonts w:ascii="Arial" w:cs="Arial" w:eastAsia="Arial" w:hAnsi="Arial"/>
                <w:sz w:val="17"/>
                <w:szCs w:val="17"/>
                <w:color w:val="auto"/>
              </w:rPr>
              <w:t>(0.05</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4 – PREPAID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2019 and 2018:</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Insurance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69,250</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43,284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Prepaid revenue share payments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201,114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EHR access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313,121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287,558</w:t>
            </w:r>
          </w:p>
        </w:tc>
        <w:tc>
          <w:tcPr>
            <w:tcW w:w="2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14,335</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prepaid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871,043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5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300"/>
              <w:spacing w:after="0" w:line="201" w:lineRule="exact"/>
              <w:rPr>
                <w:sz w:val="20"/>
                <w:szCs w:val="20"/>
                <w:color w:val="auto"/>
              </w:rPr>
            </w:pPr>
            <w:r>
              <w:rPr>
                <w:rFonts w:ascii="Arial" w:cs="Arial" w:eastAsia="Arial" w:hAnsi="Arial"/>
                <w:sz w:val="18"/>
                <w:szCs w:val="18"/>
                <w:color w:val="auto"/>
                <w:w w:val="86"/>
              </w:rPr>
              <w:t>137,763</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94,384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187,167</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300"/>
              <w:spacing w:after="0" w:line="201" w:lineRule="exact"/>
              <w:rPr>
                <w:sz w:val="20"/>
                <w:szCs w:val="20"/>
                <w:color w:val="auto"/>
              </w:rPr>
            </w:pPr>
            <w:r>
              <w:rPr>
                <w:rFonts w:ascii="Arial" w:cs="Arial" w:eastAsia="Arial" w:hAnsi="Arial"/>
                <w:sz w:val="18"/>
                <w:szCs w:val="18"/>
                <w:color w:val="auto"/>
                <w:w w:val="86"/>
              </w:rPr>
              <w:t>324,930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254,032</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148,916</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176,014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$80,206 and $58,423 for the years ended December 31, 2019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INTANBIGLE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is related to the acquisition of RMDY Health, Inc. in 2019 and CareSpeak Communications in 2018 and is primarily related to expected improvements and technology performance and functionality, sales growth from future product and service offerings and new customers, together with certain intangible assets that do not qualify for separate recognition, such as the assembled workforce in place. Goodwill is generally not amortizable for tax purposes and is not amortizable for financial statement purposes.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NOTE 6 – INTANBIGLE ASSETS (CONTINUED)</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b w:val="1"/>
                <w:bCs w:val="1"/>
                <w:color w:val="auto"/>
              </w:rPr>
              <w:t>Intangible Assets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w w:val="99"/>
              </w:rPr>
              <w:t>Intangible assets included on the balance sheet consist of the following: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89"/>
              </w:rPr>
              <w:t>December 31, 2019</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Gross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Net</w:t>
            </w: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64"/>
        </w:trPr>
        <w:tc>
          <w:tcPr>
            <w:tcW w:w="5680" w:type="dxa"/>
            <w:vAlign w:val="bottom"/>
          </w:tcPr>
          <w:p>
            <w:pPr>
              <w:spacing w:after="0"/>
              <w:rPr>
                <w:sz w:val="20"/>
                <w:szCs w:val="20"/>
                <w:color w:val="auto"/>
              </w:rPr>
            </w:pPr>
            <w:r>
              <w:rPr>
                <w:rFonts w:ascii="Arial" w:cs="Arial" w:eastAsia="Arial" w:hAnsi="Arial"/>
                <w:sz w:val="18"/>
                <w:szCs w:val="18"/>
                <w:color w:val="auto"/>
              </w:rPr>
              <w:t>Patent rights</w:t>
            </w:r>
          </w:p>
        </w:tc>
        <w:tc>
          <w:tcPr>
            <w:tcW w:w="5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3,329,457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778,870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2,550,587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5"/>
              </w:rPr>
              <w:t>8.0</w:t>
            </w: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8,140,013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1,901,560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6,238,453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3,586,000</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59,767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3,526,233</w:t>
            </w:r>
          </w:p>
        </w:tc>
        <w:tc>
          <w:tcPr>
            <w:tcW w:w="6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14.5</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309,635</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783,365</w:t>
            </w:r>
          </w:p>
        </w:tc>
        <w:tc>
          <w:tcPr>
            <w:tcW w:w="6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2.7</w:t>
            </w:r>
          </w:p>
        </w:tc>
        <w:tc>
          <w:tcPr>
            <w:tcW w:w="0" w:type="dxa"/>
            <w:vAlign w:val="bottom"/>
          </w:tcPr>
          <w:p>
            <w:pPr>
              <w:spacing w:after="0"/>
              <w:rPr>
                <w:sz w:val="1"/>
                <w:szCs w:val="1"/>
                <w:color w:val="auto"/>
              </w:rPr>
            </w:pPr>
          </w:p>
        </w:tc>
      </w:tr>
      <w:tr>
        <w:trPr>
          <w:trHeight w:val="244"/>
        </w:trPr>
        <w:tc>
          <w:tcPr>
            <w:tcW w:w="56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923,000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81,496</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841,504</w:t>
            </w:r>
          </w:p>
        </w:tc>
        <w:tc>
          <w:tcPr>
            <w:tcW w:w="60" w:type="dxa"/>
            <w:vAlign w:val="bottom"/>
          </w:tcPr>
          <w:p>
            <w:pPr>
              <w:spacing w:after="0"/>
              <w:rPr>
                <w:sz w:val="21"/>
                <w:szCs w:val="21"/>
                <w:color w:val="auto"/>
              </w:rPr>
            </w:pP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10.5</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other</w:t>
            </w: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5,602,000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450,898</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5,151,102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17,071,470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3,131,328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13,940,142</w:t>
            </w:r>
          </w:p>
        </w:tc>
        <w:tc>
          <w:tcPr>
            <w:tcW w:w="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89"/>
              </w:rPr>
              <w:t>December 31, 2018</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Gross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Carrying</w:t>
            </w:r>
          </w:p>
        </w:tc>
        <w:tc>
          <w:tcPr>
            <w:tcW w:w="20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Average Life</w:t>
            </w:r>
          </w:p>
        </w:tc>
        <w:tc>
          <w:tcPr>
            <w:tcW w:w="0" w:type="dxa"/>
            <w:vAlign w:val="bottom"/>
          </w:tcPr>
          <w:p>
            <w:pPr>
              <w:spacing w:after="0"/>
              <w:rPr>
                <w:sz w:val="1"/>
                <w:szCs w:val="1"/>
                <w:color w:val="auto"/>
              </w:rPr>
            </w:pPr>
          </w:p>
        </w:tc>
      </w:tr>
      <w:tr>
        <w:trPr>
          <w:trHeight w:val="237"/>
        </w:trPr>
        <w:tc>
          <w:tcPr>
            <w:tcW w:w="5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Net</w:t>
            </w:r>
          </w:p>
        </w:tc>
        <w:tc>
          <w:tcPr>
            <w:tcW w:w="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63"/>
        </w:trPr>
        <w:tc>
          <w:tcPr>
            <w:tcW w:w="5680" w:type="dxa"/>
            <w:vAlign w:val="bottom"/>
          </w:tcPr>
          <w:p>
            <w:pPr>
              <w:spacing w:after="0"/>
              <w:rPr>
                <w:sz w:val="20"/>
                <w:szCs w:val="20"/>
                <w:color w:val="auto"/>
              </w:rPr>
            </w:pPr>
            <w:r>
              <w:rPr>
                <w:rFonts w:ascii="Arial" w:cs="Arial" w:eastAsia="Arial" w:hAnsi="Arial"/>
                <w:sz w:val="18"/>
                <w:szCs w:val="18"/>
                <w:color w:val="auto"/>
              </w:rPr>
              <w:t>Patent rights</w:t>
            </w:r>
          </w:p>
        </w:tc>
        <w:tc>
          <w:tcPr>
            <w:tcW w:w="5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3,329,457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562,513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2,766,944</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Technology assets</w:t>
            </w: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vMerge w:val="restart"/>
          </w:tcPr>
          <w:p>
            <w:pPr>
              <w:jc w:val="center"/>
              <w:ind w:left="5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1,515,013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1,473,890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8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Tradename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982,000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982,000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977,000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50,885</w:t>
            </w:r>
          </w:p>
        </w:tc>
        <w:tc>
          <w:tcPr>
            <w:tcW w:w="2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926,115</w:t>
            </w: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3.8</w:t>
            </w:r>
          </w:p>
        </w:tc>
        <w:tc>
          <w:tcPr>
            <w:tcW w:w="0" w:type="dxa"/>
            <w:vAlign w:val="bottom"/>
          </w:tcPr>
          <w:p>
            <w:pPr>
              <w:spacing w:after="0"/>
              <w:rPr>
                <w:sz w:val="1"/>
                <w:szCs w:val="1"/>
                <w:color w:val="auto"/>
              </w:rPr>
            </w:pPr>
          </w:p>
        </w:tc>
      </w:tr>
      <w:tr>
        <w:trPr>
          <w:trHeight w:val="244"/>
        </w:trPr>
        <w:tc>
          <w:tcPr>
            <w:tcW w:w="56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492,000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12,812</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479,188</w:t>
            </w:r>
          </w:p>
        </w:tc>
        <w:tc>
          <w:tcPr>
            <w:tcW w:w="60" w:type="dxa"/>
            <w:vAlign w:val="bottom"/>
          </w:tcPr>
          <w:p>
            <w:pPr>
              <w:spacing w:after="0"/>
              <w:rPr>
                <w:sz w:val="21"/>
                <w:szCs w:val="21"/>
                <w:color w:val="auto"/>
              </w:rPr>
            </w:pPr>
          </w:p>
        </w:tc>
        <w:tc>
          <w:tcPr>
            <w:tcW w:w="1140" w:type="dxa"/>
            <w:vAlign w:val="bottom"/>
            <w:gridSpan w:val="2"/>
          </w:tcPr>
          <w:p>
            <w:pPr>
              <w:jc w:val="center"/>
              <w:ind w:left="50"/>
              <w:spacing w:after="0"/>
              <w:rPr>
                <w:sz w:val="20"/>
                <w:szCs w:val="20"/>
                <w:color w:val="auto"/>
              </w:rPr>
            </w:pPr>
            <w:r>
              <w:rPr>
                <w:rFonts w:ascii="Arial" w:cs="Arial" w:eastAsia="Arial" w:hAnsi="Arial"/>
                <w:sz w:val="18"/>
                <w:szCs w:val="18"/>
                <w:color w:val="auto"/>
                <w:w w:val="95"/>
              </w:rPr>
              <w:t>7.8</w:t>
            </w:r>
          </w:p>
        </w:tc>
        <w:tc>
          <w:tcPr>
            <w:tcW w:w="0" w:type="dxa"/>
            <w:vAlign w:val="bottom"/>
          </w:tcPr>
          <w:p>
            <w:pPr>
              <w:spacing w:after="0"/>
              <w:rPr>
                <w:sz w:val="1"/>
                <w:szCs w:val="1"/>
                <w:color w:val="auto"/>
              </w:rPr>
            </w:pPr>
          </w:p>
        </w:tc>
      </w:tr>
      <w:tr>
        <w:trPr>
          <w:trHeight w:val="27"/>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other</w:t>
            </w: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2,451,000</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63,697</w:t>
            </w:r>
          </w:p>
        </w:tc>
        <w:tc>
          <w:tcPr>
            <w:tcW w:w="2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2,387,303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Intangibles</w:t>
            </w: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7,295,470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2,036,403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5,259,067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80" w:type="dxa"/>
            <w:vAlign w:val="bottom"/>
            <w:gridSpan w:val="5"/>
          </w:tcPr>
          <w:p>
            <w:pPr>
              <w:spacing w:after="0"/>
              <w:rPr>
                <w:sz w:val="20"/>
                <w:szCs w:val="20"/>
                <w:color w:val="auto"/>
              </w:rPr>
            </w:pPr>
            <w:r>
              <w:rPr>
                <w:rFonts w:ascii="Arial" w:cs="Arial" w:eastAsia="Arial" w:hAnsi="Arial"/>
                <w:sz w:val="18"/>
                <w:szCs w:val="18"/>
                <w:color w:val="auto"/>
                <w:w w:val="96"/>
              </w:rPr>
              <w:t>Intangibles are being amortized on a straight-line basis over the following estimated useful lives.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680" w:type="dxa"/>
            <w:vAlign w:val="bottom"/>
          </w:tcPr>
          <w:p>
            <w:pPr>
              <w:spacing w:after="0"/>
              <w:rPr>
                <w:sz w:val="20"/>
                <w:szCs w:val="20"/>
                <w:color w:val="auto"/>
              </w:rPr>
            </w:pPr>
            <w:r>
              <w:rPr>
                <w:rFonts w:ascii="Arial" w:cs="Arial" w:eastAsia="Arial" w:hAnsi="Arial"/>
                <w:sz w:val="18"/>
                <w:szCs w:val="18"/>
                <w:color w:val="auto"/>
              </w:rPr>
              <w:t>Patents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15 – 17 years</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Tradenames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Non-compete agreements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 – 4 years</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8"/>
              </w:rPr>
              <w:t>8 – 15 years</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Technology assets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8"/>
              </w:rPr>
              <w:t>3 – 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INTANBIGLE ASSETS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amortization expense of $1,094,924 and $258,079 in the years ended December 31, 2019 and 2018, respectively. Expected future amortization expenses of the intangibles assets as of December 31, 2019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Year ended December 31,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1,811,400</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1,794,795</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1,391,965</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990,267</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990,267</w:t>
            </w:r>
          </w:p>
        </w:tc>
      </w:tr>
      <w:tr>
        <w:trPr>
          <w:trHeight w:val="251"/>
        </w:trPr>
        <w:tc>
          <w:tcPr>
            <w:tcW w:w="100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6,961,448</w:t>
            </w:r>
          </w:p>
        </w:tc>
      </w:tr>
      <w:tr>
        <w:trPr>
          <w:trHeight w:val="250"/>
        </w:trPr>
        <w:tc>
          <w:tcPr>
            <w:tcW w:w="10020" w:type="dxa"/>
            <w:vAlign w:val="bottom"/>
          </w:tcPr>
          <w:p>
            <w:pPr>
              <w:ind w:left="340"/>
              <w:spacing w:after="0" w:line="203"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13,940,142</w:t>
            </w: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technology assets acquired in connection with the RMDY acquisition, the company also acquired software with a cost of $1.5 million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$580,014 and $610,625 as of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$930,000 at the time, and recorded at that cost. That patent remains in Patents on the consolidated balance sheet as of December 31, 2019.</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2015, WPP, plc made a strategic investment in the Company and owned approximately 20% of the outstanding shares of the Company until December 2018, when it sold the shares. As of December 31, 2018, WPP was no longer a related party, however the transactions between WPP and the Company while they were a related party are set forth in the table below. The Company considers the pharmaceutical companies being represented by WPP agencies to be its customers and it received no preferable pricing from WPP agencies as a result of its related party status.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 for the year ended December 31 2018:</w:t>
            </w: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9160" w:type="dxa"/>
            <w:vAlign w:val="bottom"/>
          </w:tcPr>
          <w:p>
            <w:pPr>
              <w:spacing w:after="0"/>
              <w:rPr>
                <w:sz w:val="20"/>
                <w:szCs w:val="20"/>
                <w:color w:val="auto"/>
              </w:rPr>
            </w:pPr>
            <w:r>
              <w:rPr>
                <w:rFonts w:ascii="Arial" w:cs="Arial" w:eastAsia="Arial" w:hAnsi="Arial"/>
                <w:sz w:val="18"/>
                <w:szCs w:val="18"/>
                <w:color w:val="auto"/>
              </w:rPr>
              <w:t>Total billings to WPP Agencies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6,217,735</w:t>
            </w: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6,527,051</w:t>
            </w:r>
          </w:p>
        </w:tc>
      </w:t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Accounts receivable</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2,051,532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9 – CONTINGENT PURCHASE PRICE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purchase of CareSpeak Communications contains a contingent element that will be paid only if the Company achieves certain patient engagement revenues in 2019 and 2020. The total contingent payment may be up to $3.0 million. The target patient engagement revenues were achieved in 2019 and are expected to be achieved in 2020. The calculated fair value of the contingent payment was $2,365,000 at December 31, 2018 and $3,000,000 at December 31,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purchase of RMDY Health, Inc. also contains a contingent element that will be paid only if the Company achieves certain revenues in 2020 and 2021 related to the RMDY business. The total contingent payment may be up to $30.0 million. The minimum payment is $1.0 million in each of the two years. The calculated fair value of the contingent payment was $3,720,000 at December 31, 2019. We determined the fair value of the Contingent Purchase Price Payable at December 31, 2019 using a Geometric-Brownian motion analysis of the expected revenue and resulting earnout payment using inputs that include the spot price, a risk free rate of return of 1.4%, a term of 2 years, and volatility of 40%. Changes in the inputs could result in a different fair value measurement.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total fair value of contingent purchase price payable at December 31, 2019 is as follows.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CareSpeak Communications, Inc.</w:t>
            </w: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ind w:left="260"/>
              <w:spacing w:after="0" w:line="201" w:lineRule="exact"/>
              <w:rPr>
                <w:sz w:val="20"/>
                <w:szCs w:val="20"/>
                <w:color w:val="auto"/>
              </w:rPr>
            </w:pPr>
            <w:r>
              <w:rPr>
                <w:rFonts w:ascii="Arial" w:cs="Arial" w:eastAsia="Arial" w:hAnsi="Arial"/>
                <w:sz w:val="18"/>
                <w:szCs w:val="18"/>
                <w:color w:val="auto"/>
                <w:w w:val="87"/>
              </w:rPr>
              <w:t>1,500,000</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w w:val="87"/>
              </w:rPr>
              <w:t>3,000,000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320" w:type="dxa"/>
            <w:vAlign w:val="bottom"/>
          </w:tcPr>
          <w:p>
            <w:pPr>
              <w:spacing w:after="0"/>
              <w:rPr>
                <w:sz w:val="20"/>
                <w:szCs w:val="20"/>
                <w:color w:val="auto"/>
              </w:rPr>
            </w:pPr>
            <w:r>
              <w:rPr>
                <w:rFonts w:ascii="Arial" w:cs="Arial" w:eastAsia="Arial" w:hAnsi="Arial"/>
                <w:sz w:val="18"/>
                <w:szCs w:val="18"/>
                <w:color w:val="auto"/>
              </w:rPr>
              <w:t>RMDY Health, Inc.</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3,720,000</w:t>
            </w:r>
          </w:p>
        </w:tc>
        <w:tc>
          <w:tcPr>
            <w:tcW w:w="240" w:type="dxa"/>
            <w:vAlign w:val="bottom"/>
          </w:tcPr>
          <w:p>
            <w:pPr>
              <w:spacing w:after="0"/>
              <w:rPr>
                <w:sz w:val="21"/>
                <w:szCs w:val="21"/>
                <w:color w:val="auto"/>
              </w:rPr>
            </w:pP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3,720,000</w:t>
            </w:r>
          </w:p>
        </w:tc>
        <w:tc>
          <w:tcPr>
            <w:tcW w:w="0" w:type="dxa"/>
            <w:vAlign w:val="bottom"/>
          </w:tcPr>
          <w:p>
            <w:pPr>
              <w:spacing w:after="0"/>
              <w:rPr>
                <w:sz w:val="1"/>
                <w:szCs w:val="1"/>
                <w:color w:val="auto"/>
              </w:rPr>
            </w:pPr>
          </w:p>
        </w:tc>
      </w:tr>
      <w:tr>
        <w:trPr>
          <w:trHeight w:val="27"/>
        </w:trPr>
        <w:tc>
          <w:tcPr>
            <w:tcW w:w="73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5,220,000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6,720,000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10 –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has 10,000,000 shares of preferred stock, $.001 par value per share, authorized as of December 31, 2019. No shares were issued or outstanding in either 2018 or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had 166,666,667 shares of common stock, $.001 par value per share, authorized as of December 31, 2019. There were 14,600,579 and 12,038,618 shares of common stock issued and outstanding at December 31, 2019 and 2018,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STOCKHOLDERS’ EQUITY (CONTINUED)</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Effective May 14, 2018, in connection with our listing on the Nasdaq Capital Market, we implemented a reverse split of our common stock by exchanging each three shares of our common stock for one share. Our financial statements and all equity transactions have been retroactively adjusted to account for the reverse stock split. We elected to round fractional shares up to the nearest whole number rather than redeem them for cash, and as a result we issued 908 additional shares as a result of this rounding. In connection with this reverse split, our authorized shares were reduced from 500,000,000 to 166,666,667.</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we issued 100,000 shares of common stock to a subsidiary of WPP, one of the world’s largest media companies, and a shareholder at the time, in full payment of all amounts due under a co-marketing agreement that covered certain WPP agencies, whereby we shared a portion of our revenue with those agencies related to new programs through those agencies. The shares were valued at $447,000, the market value of the stock on the date of issuance. The amount due was recorded as a liability in revenue share payable at December 31, 2017.</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in an underwritten public offering, we issued 1,769,275 shares of our common stock for gross proceeds of $23,000,575. In connection with this transaction, we incurred equity issuance costs of $1,696,749 related to payments to the underwriter, advisors and legal fees associated with the transaction, resulting in net proceeds to the Company of $21,303,826.</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a Director Compensation plan covering its independent non-employee Directors. A total of 33,344 and 36,494 shares were granted and issued in the years ended December 31, 2019 and 2018, respectively, in connection with this compensation plan. These shares were valued at $447,393 and $428,884, respectively. The Company also awarded 130,001 restricted stock awards, valued at $546,007, to executive officers in 2018. These awards would vest only if the Company achieved certain stretch revenue goals in 2018 or 2019. It was determined that the goal was achieved as of December 31, 2018, so the entire expense was recognized in 2018, but the shares related to these awards were issued in 2019.</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2019, we issued 382,893 shares of common stock, valued at $5,107,793, to the former shareholders of RMDY Health, Inc. in connection with the acquisition of RMDY in 2019. We also issued 30,638 shares of common stock, valued at $500,000, to the former shareholders of CareSpeak Communications, Inc., in connection with the acquisition of the CareSpeak in 2018.</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issued 246,448 shares of common stock and received proceeds of $877,702 in 2019 in connection with the exercise of options. We also issued 165,169 shares of common stock and received proceeds of $521,270 in 2018 in connection with the exercise of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issued 15,000 shares of our common stock, valued at $228,050, for investor relations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2018, we issued 251,046 shares of common stock in connection with the cashless exercise of a warrant to purchase 348,194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adopted the new accounting standard ASC 606, Revenue from Contracts with Customers, as of January 1, 2018, which resulted in a charge of $142,027 to Retained Earnings on that date. We adopted the new lease accounting standard ASC 842 as of January 1, 2019, which resulted in a charge of $3,229 to Retained Earnings on that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sponsors a stock-based incentive compensation plan known as the 2013 Equity Compensation Plan (the “Plan”), which was established by the Board of Directors of the Company in June 2013. A total of 500,000 shares were initially reserved for issuance under the Plan. The Plan was amended several times since then to eventually increase the authorized shares to 2,500,000 as of December 31, 2019. A total of 1,624,221 shares of common stock underlying options were outstanding at December 31, 2019. The Company had 236,614 remaining shares available to grant under the Plan at December 31, 2019.</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rights,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cost that has been charged against income related to options for the years ended December 31, 2019 and 2018, was $1,687,745 and $1,317,904, respectively. No income tax benefit was recognized in the income statement and no compensation was capitalized in any of the years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8"/>
                <w:szCs w:val="18"/>
                <w:color w:val="auto"/>
                <w:w w:val="86"/>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8"/>
              </w:rPr>
              <w:t>intrinsic</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Options</w:t>
            </w:r>
          </w:p>
        </w:tc>
        <w:tc>
          <w:tcPr>
            <w:tcW w:w="134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value $</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Outstanding, January 1, 2018</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1,368,772</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3.12</w:t>
            </w:r>
          </w:p>
        </w:tc>
        <w:tc>
          <w:tcPr>
            <w:tcW w:w="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 – 2018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401,099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 – 2018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(165,169)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Expired – 2018</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(50,002)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Outstanding, December 31, 2018</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1,554,700</w:t>
            </w:r>
          </w:p>
        </w:tc>
        <w:tc>
          <w:tcPr>
            <w:tcW w:w="2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4.63</w:t>
            </w:r>
          </w:p>
        </w:tc>
        <w:tc>
          <w:tcPr>
            <w:tcW w:w="180" w:type="dxa"/>
            <w:vAlign w:val="bottom"/>
          </w:tcPr>
          <w:p>
            <w:pPr>
              <w:spacing w:after="0"/>
              <w:rPr>
                <w:sz w:val="17"/>
                <w:szCs w:val="17"/>
                <w:color w:val="auto"/>
              </w:rPr>
            </w:pP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 – 2019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410,134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 – 2019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(251,063)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Expired – 2019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(89,550)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line="203" w:lineRule="exact"/>
              <w:rPr>
                <w:sz w:val="20"/>
                <w:szCs w:val="20"/>
                <w:color w:val="auto"/>
              </w:rPr>
            </w:pPr>
            <w:r>
              <w:rPr>
                <w:rFonts w:ascii="Arial" w:cs="Arial" w:eastAsia="Arial" w:hAnsi="Arial"/>
                <w:sz w:val="18"/>
                <w:szCs w:val="18"/>
                <w:color w:val="auto"/>
              </w:rPr>
              <w:t>Outstanding, December 31,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1,624,221</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7,925,643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Exercisable, December 31, 2019</w:t>
            </w: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1,143,637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7,197,053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Of the options outstanding at December 31, 2019, 1,143,637 were exercisable with a weighted average contractual life of 1.9 years.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COMPENSATION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expiration date and exercise price of the options outstanding at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tcPr>
          <w:p>
            <w:pPr>
              <w:spacing w:after="0"/>
              <w:rPr>
                <w:sz w:val="20"/>
                <w:szCs w:val="20"/>
                <w:color w:val="auto"/>
              </w:rPr>
            </w:pPr>
            <w:r>
              <w:rPr>
                <w:rFonts w:ascii="Arial" w:cs="Arial" w:eastAsia="Arial" w:hAnsi="Arial"/>
                <w:sz w:val="18"/>
                <w:szCs w:val="18"/>
                <w:color w:val="auto"/>
              </w:rPr>
              <w:t>Number of Options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80" w:type="dxa"/>
            <w:vAlign w:val="bottom"/>
            <w:gridSpan w:val="2"/>
          </w:tcPr>
          <w:p>
            <w:pPr>
              <w:ind w:left="660"/>
              <w:spacing w:after="0"/>
              <w:rPr>
                <w:sz w:val="20"/>
                <w:szCs w:val="20"/>
                <w:color w:val="auto"/>
              </w:rPr>
            </w:pPr>
            <w:r>
              <w:rPr>
                <w:rFonts w:ascii="Arial" w:cs="Arial" w:eastAsia="Arial" w:hAnsi="Arial"/>
                <w:sz w:val="18"/>
                <w:szCs w:val="18"/>
                <w:color w:val="auto"/>
              </w:rPr>
              <w:t>Exercise Price</w:t>
            </w:r>
          </w:p>
        </w:tc>
        <w:tc>
          <w:tcPr>
            <w:tcW w:w="3260" w:type="dxa"/>
            <w:vAlign w:val="bottom"/>
          </w:tcPr>
          <w:p>
            <w:pPr>
              <w:ind w:left="1060"/>
              <w:spacing w:after="0"/>
              <w:rPr>
                <w:sz w:val="20"/>
                <w:szCs w:val="20"/>
                <w:color w:val="auto"/>
              </w:rPr>
            </w:pPr>
            <w:r>
              <w:rPr>
                <w:rFonts w:ascii="Arial" w:cs="Arial" w:eastAsia="Arial" w:hAnsi="Arial"/>
                <w:sz w:val="18"/>
                <w:szCs w:val="18"/>
                <w:color w:val="auto"/>
              </w:rPr>
              <w:t>Expiration Date</w:t>
            </w:r>
          </w:p>
        </w:tc>
      </w:tr>
      <w:tr>
        <w:trPr>
          <w:trHeight w:val="202"/>
        </w:trPr>
        <w:tc>
          <w:tcPr>
            <w:tcW w:w="2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175,799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ind w:right="550"/>
              <w:spacing w:after="0" w:line="201" w:lineRule="exact"/>
              <w:rPr>
                <w:sz w:val="20"/>
                <w:szCs w:val="20"/>
                <w:color w:val="auto"/>
              </w:rPr>
            </w:pPr>
            <w:r>
              <w:rPr>
                <w:rFonts w:ascii="Arial" w:cs="Arial" w:eastAsia="Arial" w:hAnsi="Arial"/>
                <w:sz w:val="18"/>
                <w:szCs w:val="18"/>
                <w:color w:val="auto"/>
                <w:w w:val="79"/>
              </w:rPr>
              <w:t>$</w:t>
            </w:r>
          </w:p>
        </w:tc>
        <w:tc>
          <w:tcPr>
            <w:tcW w:w="3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2.46</w:t>
            </w:r>
          </w:p>
        </w:tc>
        <w:tc>
          <w:tcPr>
            <w:tcW w:w="200" w:type="dxa"/>
            <w:vAlign w:val="bottom"/>
          </w:tcPr>
          <w:p>
            <w:pPr>
              <w:spacing w:after="0"/>
              <w:rPr>
                <w:sz w:val="17"/>
                <w:szCs w:val="17"/>
                <w:color w:val="auto"/>
              </w:rPr>
            </w:pPr>
          </w:p>
        </w:tc>
        <w:tc>
          <w:tcPr>
            <w:tcW w:w="3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03/31/22</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41,668</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06/24/20</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210,520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07/27/22</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470,000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02/22/21</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105,836</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07/28/21</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100,006</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4.20</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02/01/23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8,336</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03/31/23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8,336</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12/31/22</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9.76</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12/02/24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139,000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10.18</w:t>
            </w: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11/24/24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8,336</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10.40</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06/30/23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11,800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12.49</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08/13/23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12.51</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08/20/23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08/22/23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15,000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12.73</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09/04/23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14,084</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12.77</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04/08/24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30,500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13.06</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02/27/24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06/10/24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13.34</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10/04/24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29,000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14.48</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09/30/24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15.10</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05/23/24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15.32</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0715/24</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15.40</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10/16/23</w:t>
            </w:r>
          </w:p>
        </w:tc>
      </w:tr>
      <w:tr>
        <w:trPr>
          <w:trHeight w:val="216"/>
        </w:trPr>
        <w:tc>
          <w:tcPr>
            <w:tcW w:w="222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15.51</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05/30/24</w:t>
            </w:r>
          </w:p>
        </w:tc>
      </w:tr>
      <w:tr>
        <w:trPr>
          <w:trHeight w:val="230"/>
        </w:trPr>
        <w:tc>
          <w:tcPr>
            <w:tcW w:w="22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16.24</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10/22/23</w:t>
            </w:r>
          </w:p>
        </w:tc>
      </w:tr>
      <w:tr>
        <w:trPr>
          <w:trHeight w:val="432"/>
        </w:trPr>
        <w:tc>
          <w:tcPr>
            <w:tcW w:w="2220" w:type="dxa"/>
            <w:vAlign w:val="bottom"/>
          </w:tcPr>
          <w:p>
            <w:pPr>
              <w:ind w:left="1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1,624,221</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280" w:type="dxa"/>
            <w:vAlign w:val="bottom"/>
            <w:gridSpan w:val="2"/>
          </w:tcPr>
          <w:p>
            <w:pPr>
              <w:jc w:val="right"/>
              <w:ind w:right="200"/>
              <w:spacing w:after="0"/>
              <w:rPr>
                <w:sz w:val="20"/>
                <w:szCs w:val="20"/>
                <w:color w:val="auto"/>
              </w:rPr>
            </w:pPr>
            <w:r>
              <w:rPr>
                <w:rFonts w:ascii="Arial" w:cs="Arial" w:eastAsia="Arial" w:hAnsi="Arial"/>
                <w:sz w:val="18"/>
                <w:szCs w:val="18"/>
                <w:color w:val="auto"/>
              </w:rPr>
              <w:t>6.27</w:t>
            </w:r>
          </w:p>
        </w:tc>
        <w:tc>
          <w:tcPr>
            <w:tcW w:w="326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is $1,612,382 of expense remaining to be recognized over a period of approximately 1.8 years related to options outstanding at December 31, 2019.</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2019, the Company granted restricted stock awards of 50,000 shares, valued at $653,000, which would vest if the Company achieved certain 2019 revenue targets. The Company did not achieve those targets, so the awards expired unvested on December 31, 2019. The Company also granted a restricted stock award of 90,000 shares, valued at $938,700, and vesting over a period of 5 years. The Company recognized $125,160 expense related to this award in 2019 and $813,540 remains to be recognized at December 31, 2019 over a period of 4.3 years.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awarded 130,001 restricted stock awards, valued at $546,007, in 2018. These awards would vest only if the Company achieved certain stretch revenue goals in 2018 or 2019. It was determined that the goal was achieved as of December 31, 2018, so the entire expense was recognized in 2018, but the shares related to these awards were issued in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issued warrants to purchase common stock in the past, primarily in connection with capital raising activities. However, all remaining warrants were exercised in 2018 and there are no remaining warrants outstanding at December 31, 2018 or 2019.</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the following warrant activity during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NOTE 13 –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r>
      <w:tr>
        <w:trPr>
          <w:trHeight w:val="216"/>
        </w:trPr>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Underlying</w:t>
            </w: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average</w:t>
            </w:r>
          </w:p>
        </w:tc>
      </w:tr>
      <w:tr>
        <w:trPr>
          <w:trHeight w:val="237"/>
        </w:trPr>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Warrants</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exercise price</w:t>
            </w: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348,194</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3.33</w:t>
            </w:r>
          </w:p>
        </w:tc>
        <w:tc>
          <w:tcPr>
            <w:tcW w:w="20" w:type="dxa"/>
            <w:vAlign w:val="bottom"/>
          </w:tcPr>
          <w:p>
            <w:pPr>
              <w:spacing w:after="0"/>
              <w:rPr>
                <w:sz w:val="17"/>
                <w:szCs w:val="17"/>
                <w:color w:val="auto"/>
              </w:rPr>
            </w:pPr>
          </w:p>
        </w:tc>
      </w:tr>
      <w:tr>
        <w:trPr>
          <w:trHeight w:val="244"/>
        </w:trPr>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(348,194)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The accounting standard, effective January 1, 2019, requires virtually all leases to be recognized on the balance sheet. Effective January 1, 2019, we adopted the standard using the modified retrospective method, under which we elected the package of practical expedients and transition provisions allowing us to bring our existing operating leases onto the consolidated balance sheet without adjusting comparative periods, but recognizing a cumulative-effect adjustment to the opening balance of accumulated deficit on January 1, 2019. Under the guidance, we have also elected not to separate lease and non-lease components in recognition of the lease-related assets and liabilities, as well as the related lease expense.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operating leases with terms greater than 12 months for office space in three multitenant facilities, which are recorded as assets and liabilities. The lease on our headquarters space in Rochester, Michigan expires November 30, 2022, with a three-year renewal option through 2025, with monthly rent payable at rates ranging from $6,384 to $6,688. We have assumed renewal of the lease. We also have a lease on office space in Cranbury, New Jersey, expiring in 2022 with monthly payments ranging from $3,008 to $3,158, as well as a lease of approximately $1,883 per month in Zagreb, Croatia expiring in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of the standard on January 1, 2019, we recorded approximately $462,000 of right of use assets and $465,000 of lease-related liabilities, with the difference recorded in accumulated deficit as the cumulative effect of change in accounting principle at that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13 – LEASES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the Company’s lease cost consisted of the following components, each of which is included in operating expenses within the Company’s consolidated statements of operations:</w:t>
      </w:r>
    </w:p>
    <w:p>
      <w:pPr>
        <w:spacing w:after="0" w:line="170" w:lineRule="exact"/>
        <w:rPr>
          <w:sz w:val="20"/>
          <w:szCs w:val="20"/>
          <w:color w:val="auto"/>
        </w:rPr>
      </w:pPr>
    </w:p>
    <w:p>
      <w:pPr>
        <w:jc w:val="center"/>
        <w:ind w:left="990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left="990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p>
      <w:pPr>
        <w:jc w:val="center"/>
        <w:ind w:left="990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5715</wp:posOffset>
            </wp:positionV>
            <wp:extent cx="7029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Operating lease cost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132,020</w:t>
            </w:r>
          </w:p>
        </w:tc>
        <w:tc>
          <w:tcPr>
            <w:tcW w:w="0" w:type="dxa"/>
            <w:vAlign w:val="bottom"/>
          </w:tcPr>
          <w:p>
            <w:pPr>
              <w:spacing w:after="0"/>
              <w:rPr>
                <w:sz w:val="1"/>
                <w:szCs w:val="1"/>
                <w:color w:val="auto"/>
              </w:rPr>
            </w:pPr>
          </w:p>
        </w:tc>
      </w:tr>
      <w:tr>
        <w:trPr>
          <w:trHeight w:val="251"/>
        </w:trPr>
        <w:tc>
          <w:tcPr>
            <w:tcW w:w="10020" w:type="dxa"/>
            <w:vAlign w:val="bottom"/>
          </w:tcPr>
          <w:p>
            <w:pPr>
              <w:spacing w:after="0"/>
              <w:rPr>
                <w:sz w:val="20"/>
                <w:szCs w:val="20"/>
                <w:color w:val="auto"/>
              </w:rPr>
            </w:pPr>
            <w:r>
              <w:rPr>
                <w:rFonts w:ascii="Arial" w:cs="Arial" w:eastAsia="Arial" w:hAnsi="Arial"/>
                <w:sz w:val="18"/>
                <w:szCs w:val="18"/>
                <w:color w:val="auto"/>
              </w:rPr>
              <w:t>Short-term lease cost (1)</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84,935</w:t>
            </w:r>
          </w:p>
        </w:tc>
        <w:tc>
          <w:tcPr>
            <w:tcW w:w="0" w:type="dxa"/>
            <w:vAlign w:val="bottom"/>
          </w:tcPr>
          <w:p>
            <w:pPr>
              <w:spacing w:after="0"/>
              <w:rPr>
                <w:sz w:val="1"/>
                <w:szCs w:val="1"/>
                <w:color w:val="auto"/>
              </w:rPr>
            </w:pPr>
          </w:p>
        </w:tc>
      </w:tr>
      <w:tr>
        <w:trPr>
          <w:trHeight w:val="250"/>
        </w:trPr>
        <w:tc>
          <w:tcPr>
            <w:tcW w:w="10020" w:type="dxa"/>
            <w:vAlign w:val="bottom"/>
          </w:tcPr>
          <w:p>
            <w:pPr>
              <w:spacing w:after="0" w:line="203" w:lineRule="exact"/>
              <w:rPr>
                <w:sz w:val="20"/>
                <w:szCs w:val="20"/>
                <w:color w:val="auto"/>
              </w:rPr>
            </w:pPr>
            <w:r>
              <w:rPr>
                <w:rFonts w:ascii="Arial" w:cs="Arial" w:eastAsia="Arial" w:hAnsi="Arial"/>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216,955</w:t>
            </w: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December 31, 2019:</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140,367</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102,367</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99,209</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80,375</w:t>
            </w:r>
          </w:p>
        </w:tc>
        <w:tc>
          <w:tcPr>
            <w:tcW w:w="0" w:type="dxa"/>
            <w:vAlign w:val="bottom"/>
          </w:tcPr>
          <w:p>
            <w:pPr>
              <w:spacing w:after="0"/>
              <w:rPr>
                <w:sz w:val="1"/>
                <w:szCs w:val="1"/>
                <w:color w:val="auto"/>
              </w:rPr>
            </w:pPr>
          </w:p>
        </w:tc>
      </w:tr>
      <w:tr>
        <w:trPr>
          <w:trHeight w:val="251"/>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c>
          <w:tcPr>
            <w:tcW w:w="0" w:type="dxa"/>
            <w:vAlign w:val="bottom"/>
          </w:tcPr>
          <w:p>
            <w:pPr>
              <w:spacing w:after="0"/>
              <w:rPr>
                <w:sz w:val="1"/>
                <w:szCs w:val="1"/>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630,561</w:t>
            </w:r>
          </w:p>
        </w:tc>
        <w:tc>
          <w:tcPr>
            <w:tcW w:w="0" w:type="dxa"/>
            <w:vAlign w:val="bottom"/>
          </w:tcPr>
          <w:p>
            <w:pPr>
              <w:spacing w:after="0"/>
              <w:rPr>
                <w:sz w:val="1"/>
                <w:szCs w:val="1"/>
                <w:color w:val="auto"/>
              </w:rPr>
            </w:pPr>
          </w:p>
        </w:tc>
      </w:tr>
      <w:tr>
        <w:trPr>
          <w:trHeight w:val="251"/>
        </w:trPr>
        <w:tc>
          <w:tcPr>
            <w:tcW w:w="1002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66,377</w:t>
            </w:r>
          </w:p>
        </w:tc>
        <w:tc>
          <w:tcPr>
            <w:tcW w:w="0" w:type="dxa"/>
            <w:vAlign w:val="bottom"/>
          </w:tcPr>
          <w:p>
            <w:pPr>
              <w:spacing w:after="0"/>
              <w:rPr>
                <w:sz w:val="1"/>
                <w:szCs w:val="1"/>
                <w:color w:val="auto"/>
              </w:rPr>
            </w:pPr>
          </w:p>
        </w:tc>
      </w:tr>
      <w:tr>
        <w:trPr>
          <w:trHeight w:val="250"/>
        </w:trPr>
        <w:tc>
          <w:tcPr>
            <w:tcW w:w="1002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564,184</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remaining lease term for operating leases is 5.1 years and the weighted average discount rate used in calculating the operating lease asset and liability is 4.5%. Cash paid for amounts included in the measurement of lease liabilities was $106,564. For the year ended December 31, 2019, payments on lease obligations were $132,867 and amortization on the right of use assets was $107,656.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 AND VENDORS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the following customers that accounted for 10% or greater of revenue in either 2019 or 2018. No other customers accounted for more than 10% of revenue in either year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Customer A</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3,883,589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1,678,669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7.9</w:t>
            </w:r>
          </w:p>
        </w:tc>
        <w:tc>
          <w:tcPr>
            <w:tcW w:w="20" w:type="dxa"/>
            <w:vAlign w:val="bottom"/>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B</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2,801,748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930,682</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C</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2,533,766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2,122,657</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1,349,214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2,547,113</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Customer 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2,280,873</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 AND VENDORS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accounts receivable includes 3 customers that individually make up more than 10% of our accounts receivable at December 31, 2019 in the percentages of 17.8%, 15.4% and 13.3%.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four key partners through which 10% or greater of its revenue was generated in either 2019 or 2018 as set forth below. The amounts in the table below reflect the amount of revenue generated through those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4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Partner A</w:t>
            </w:r>
          </w:p>
        </w:tc>
        <w:tc>
          <w:tcPr>
            <w:tcW w:w="1120" w:type="dxa"/>
            <w:vAlign w:val="bottom"/>
          </w:tcPr>
          <w:p>
            <w:pPr>
              <w:ind w:left="400"/>
              <w:spacing w:after="0" w:line="201" w:lineRule="exact"/>
              <w:rPr>
                <w:sz w:val="20"/>
                <w:szCs w:val="20"/>
                <w:color w:val="auto"/>
              </w:rPr>
            </w:pPr>
            <w:r>
              <w:rPr>
                <w:rFonts w:ascii="Arial" w:cs="Arial" w:eastAsia="Arial" w:hAnsi="Arial"/>
                <w:sz w:val="18"/>
                <w:szCs w:val="18"/>
                <w:color w:val="auto"/>
                <w:w w:val="87"/>
              </w:rPr>
              <w:t>1,315,706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5.3</w:t>
            </w:r>
          </w:p>
        </w:tc>
        <w:tc>
          <w:tcPr>
            <w:tcW w:w="220" w:type="dxa"/>
            <w:vAlign w:val="bottom"/>
          </w:tcPr>
          <w:p>
            <w:pPr>
              <w:spacing w:after="0"/>
              <w:rPr>
                <w:sz w:val="17"/>
                <w:szCs w:val="17"/>
                <w:color w:val="auto"/>
              </w:rPr>
            </w:pPr>
          </w:p>
        </w:tc>
        <w:tc>
          <w:tcPr>
            <w:tcW w:w="1100" w:type="dxa"/>
            <w:vAlign w:val="bottom"/>
          </w:tcPr>
          <w:p>
            <w:pPr>
              <w:ind w:left="380"/>
              <w:spacing w:after="0" w:line="201" w:lineRule="exact"/>
              <w:rPr>
                <w:sz w:val="20"/>
                <w:szCs w:val="20"/>
                <w:color w:val="auto"/>
              </w:rPr>
            </w:pPr>
            <w:r>
              <w:rPr>
                <w:rFonts w:ascii="Arial" w:cs="Arial" w:eastAsia="Arial" w:hAnsi="Arial"/>
                <w:sz w:val="18"/>
                <w:szCs w:val="18"/>
                <w:color w:val="auto"/>
                <w:w w:val="87"/>
              </w:rPr>
              <w:t>6,841,386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Partner B</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9,210,347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5,350,393</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Partner C</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4,051,217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2,584,103</w:t>
            </w: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Partner D</w:t>
            </w:r>
          </w:p>
        </w:tc>
        <w:tc>
          <w:tcPr>
            <w:tcW w:w="1380" w:type="dxa"/>
            <w:vAlign w:val="bottom"/>
            <w:gridSpan w:val="2"/>
          </w:tcPr>
          <w:p>
            <w:pPr>
              <w:ind w:left="400"/>
              <w:spacing w:after="0"/>
              <w:rPr>
                <w:sz w:val="20"/>
                <w:szCs w:val="20"/>
                <w:color w:val="auto"/>
              </w:rPr>
            </w:pPr>
            <w:r>
              <w:rPr>
                <w:rFonts w:ascii="Arial" w:cs="Arial" w:eastAsia="Arial" w:hAnsi="Arial"/>
                <w:sz w:val="18"/>
                <w:szCs w:val="18"/>
                <w:color w:val="auto"/>
              </w:rPr>
              <w:t>1,007,573</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ind w:left="380"/>
              <w:spacing w:after="0"/>
              <w:rPr>
                <w:sz w:val="20"/>
                <w:szCs w:val="20"/>
                <w:color w:val="auto"/>
              </w:rPr>
            </w:pPr>
            <w:r>
              <w:rPr>
                <w:rFonts w:ascii="Arial" w:cs="Arial" w:eastAsia="Arial" w:hAnsi="Arial"/>
                <w:sz w:val="18"/>
                <w:szCs w:val="18"/>
                <w:color w:val="auto"/>
              </w:rPr>
              <w:t>2,159,356</w:t>
            </w:r>
          </w:p>
        </w:tc>
        <w:tc>
          <w:tcPr>
            <w:tcW w:w="2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Company had net operating loss carry-forwards for federal income tax purposes of approximately $18.3 million, consisting of pre-2018 losses in the amount of approximately $14.3 million that expire from 2020 through 2037, and post-2017 losses in the amount of approximately $4 million that never expire. These net operating losses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w w:val="96"/>
              </w:rPr>
              <w:t>The provision for Federal income tax consists of the following for the years ended December 31, 2019 and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Federal income tax benefit (expense)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848,000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Acquisition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permanent items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29,000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Adjustment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(913,000)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1,209,960</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Net provision for federal income tax</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897,960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Current tax benefit (expense) - Federal</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benefit (expense) - Federal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Adjustment of valuation allowance from business combination</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897,960</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tax benefit (expense) on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897,960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of significant items comprising our net deferred tax amount at the expected rate of 21% is as follows as of December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Deferred tax asset attributable to:</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operating loss carryover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3,839,000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320,000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36,000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4,195,000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tax liabilities attributable to:</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Fixed assets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(2,438,000)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(1,728,000)</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(2,938,000)</w:t>
            </w: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Deferred tax liability</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(4,195,000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(2,952,000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Net deferred tax asset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86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ultimate realization of deferred tax assets is dependent upon the Company’s ability to generate sufficient taxable income during the periods in which the net operating losses expire and the temporary differences become deductible. The Company has determined that there is significant uncertainty that the results of future operations and the reversals of existing taxable temporary differences will generate sufficient taxable income to realize the deferred tax assets; therefore, a valuation allowance has been recorded. In making this determination, the Company considered historical levels of income as well as projections for future periods.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tax years 2016 to 2019 remain open for potential audit by the Internal Revenue Service. There are no uncertain tax positions as of December 31, 2018 or December 31, 2019, and none are expected in the next 12 months. The Company’s foreign subsidiaries are cost centers that are reimbursed for expenses, so generate no income or loss. Pretax book income (loss) is all from domestic operations. Up to four years of returns remain open for potential audit in foreign jurisdictions, however any audits for periods prior to ownership by the Company are the responsibility of the previous owners.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16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 From time to time the Company enters into arrangements with a partner to acquire minimum amounts of messaging capabilities. As of December 31, 2019, the Company had had commitments for future minimum payments of $13.5 million that will be reflected in cost of revenues during the years from 2020 through 2022. Minimum payments are due in 2020, 2021, and 2022, in the amounts of $6.5 million, $5.5 million, and $2.0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NOTE 17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$126,557 and $172,107 recorded in 2019 and 2018, respectively, for company contributions to the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77"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18 – SUBSEQUENT EVENTS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2020, the Company’s Board of Directors amended the 2013 Equity Compensation Plan to increase the number of shares authorized under the plan to 3.0 million shares. At the same time, the Company granted 84,746 shares of restricted common stock and options to purchase 233,049 shares of common stock to officers that vest over the balance of 2020. The Board also granted options to purchase 33,000 shares of common stock to a non-officer, that were fully vested at the time of grant and 38,000 time-based options to new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2020, the company issued 35,032 shares and received proceeds of $112,151 in connection with the exercise of options.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disclosure controls and procedures (as defined in Rules 13a-15(e) or 15d-15(e) under the Securities Exchange Act of 1934, as amended) are designed to ensure that information required to be disclosed in the reports that we file or submit under the Exchange Act is recorded, processed, summarized, and reported within the time periods specified in the rules and forms of the Securities and Exchange Commission and to ensure that information required to be disclosed is accumulated and communicated to management, including our principal executive and financial officers, to allow timely decisions regarding disclosure. 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not effective as of December 31, 2019 due to the material weaknesses described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 13a-15(f) under the Exchange Act). Our internal control over financial reporting is designed to provide reasonable assurance regarding the reliability of financial reporting and the preparation of financial statements for external purposes in accordance with U.S. GAAP and includes those policies and procedures that:</w:t>
      </w:r>
    </w:p>
    <w:p>
      <w:pPr>
        <w:spacing w:after="0" w:line="2" w:lineRule="exact"/>
        <w:rPr>
          <w:sz w:val="20"/>
          <w:szCs w:val="20"/>
          <w:color w:val="auto"/>
        </w:rPr>
      </w:pPr>
    </w:p>
    <w:p>
      <w:pPr>
        <w:jc w:val="both"/>
        <w:ind w:firstLine="8"/>
        <w:spacing w:after="0" w:line="25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financial statements.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Based on this assessment, management identified the following material weaknesses which have caused management to conclude that our disclosure controls and procedures were not effective: (i) inadequate information technology general controls (ITGCs) in the areas of user access security, change management, IT operations and third-party management over its key financial information technology (IT) systems; and (ii) inadequate controls to ensure that data received from third parties is complete and accurate. Those weaknesses have not been completely remediated as of December 31,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material weaknesses did not result in any identified misstatements to the financial statements, and there were no changes to previously released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Marcum LLP, has issued an adverse opinion on the effectiveness of the Company’s internal control over financial reporting as of December 31, 2019, which appears in Item 9a of this Form 10-K.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Management’s Remediation Plan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previously disclosed in Part II, item 9A of the Company’s Annual Report on Form 10-K for the year ended December 31, 2018, we identified two material weaknesses in internal control over financial reporting. The first material weakness related to inadequate segregation of duties with the finance department due to limited personnel. We had only two financial department employees for the majority of 2018. We hired a third employee in late 2018, and two additional employees in 2019, and reallocated duties to provide adequate segregation of duties. This weakness was remediated in 2019.</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second material weakness related to inadequate information technology reporting systems. and ineffective information technology general controls (ITGCs) in the areas of user access and change-management. To address the weakness related to inadequate information reporting systems, we installed a new accounting software system with more stringent build in controls in 2019. In addition, we implemented additional controls in the area of user access and change management late in 2019. However, these additional controls were implemented too late in the year to be considered remediated as of December 31, 2019 and the documentation related to the operation of these controls was inadequate to demonstrate the controls were effective. We are currently working on improving the documentation of these controls and expect this to be completed in the second quarter of 2020.</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address the inadequate controls over information received from third parties, the Company intends to review the reporting systems used by the third parties in cases where the information received is material to the financial statements, and to document such review. The Company has historically performed extensive analytical procedures on the data received to ensure that it is complete and accurate and intends to continue those reviews as well.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than the changes to internal controls described above, there has been no material changes in our internal control over financial reporting during the most recently completed fiscal quarter that has materially affected, or is reasonably likely to materially affect, our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Opinion on Internal Control over Financial Reporting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OptimizeRx Corporation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In our opinion, because of the effect of the material weaknesses described in the following paragraph on the achievement of the objectives of the control criteria, the Company has not maintained effective internal control over financial reporting as of December 31, 2019, based on criteria established in </w:t>
      </w:r>
      <w:r>
        <w:rPr>
          <w:rFonts w:ascii="Arial" w:cs="Arial" w:eastAsia="Arial" w:hAnsi="Arial"/>
          <w:sz w:val="16"/>
          <w:szCs w:val="16"/>
          <w:i w:val="1"/>
          <w:iCs w:val="1"/>
          <w:color w:val="auto"/>
        </w:rPr>
        <w:t xml:space="preserve">Internal Control-Integrated Framework (2013) </w:t>
      </w:r>
      <w:r>
        <w:rPr>
          <w:rFonts w:ascii="Arial" w:cs="Arial" w:eastAsia="Arial" w:hAnsi="Arial"/>
          <w:sz w:val="16"/>
          <w:szCs w:val="16"/>
          <w:color w:val="auto"/>
        </w:rPr>
        <w:t>issued by the Committee of Sponsoring Organizations of the Treadway Commission.</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Report on Internal Control Over Financial Reporting”:</w:t>
      </w:r>
    </w:p>
    <w:p>
      <w:pPr>
        <w:spacing w:after="0" w:line="165" w:lineRule="exact"/>
        <w:rPr>
          <w:sz w:val="20"/>
          <w:szCs w:val="20"/>
          <w:color w:val="auto"/>
        </w:rPr>
      </w:pPr>
    </w:p>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did not properly design or implement information technology general controls (ITGCs) in the areas of user access security, change management, IT operations and third-party management over its key financial information technology (IT) systems, which are relied upon by management in recording amounts pertaining to revenue and accounts receivable and revenue share expense and revenue share expense payable. In addition, certain IT control processes lacked the sufficient documentation required to demonstrate that such processes were operating effectively.</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did not properly design or implement controls to ensure that data received from third parties is complete and accurate. Such data is relied on by the Company in recording amounts pertaining to revenue and accounts receivable and revenue share expense and revenue share expense payable.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material weaknesses were considered in determining the nature, timing and extent of audit tests applied in our audit of the fiscal 2019 consolidated financial statements, and this report does not affect our report dated March 26, 2020 on those financial statements.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balance sheet as of December 31, 2019 and the related consolidated statements of operations, stockholders’ equity, and cash flows for the year then ended of the Company and our report dated March 26, 2020 expressed an unqualified opinion on those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2"/>
          </w:tcPr>
          <w:p>
            <w:pPr>
              <w:ind w:left="1760"/>
              <w:spacing w:after="0"/>
              <w:rPr>
                <w:sz w:val="20"/>
                <w:szCs w:val="20"/>
                <w:color w:val="auto"/>
              </w:rPr>
            </w:pPr>
            <w:r>
              <w:rPr>
                <w:rFonts w:ascii="Arial" w:cs="Arial" w:eastAsia="Arial" w:hAnsi="Arial"/>
                <w:sz w:val="18"/>
                <w:szCs w:val="18"/>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20"/>
                <w:szCs w:val="20"/>
                <w:color w:val="auto"/>
              </w:rPr>
            </w:pPr>
          </w:p>
        </w:tc>
        <w:tc>
          <w:tcPr>
            <w:tcW w:w="6160" w:type="dxa"/>
            <w:vAlign w:val="bottom"/>
          </w:tcPr>
          <w:p>
            <w:pPr>
              <w:ind w:left="2060"/>
              <w:spacing w:after="0"/>
              <w:rPr>
                <w:sz w:val="20"/>
                <w:szCs w:val="20"/>
                <w:color w:val="auto"/>
              </w:rPr>
            </w:pPr>
            <w:r>
              <w:rPr>
                <w:rFonts w:ascii="Arial" w:cs="Arial" w:eastAsia="Arial" w:hAnsi="Arial"/>
                <w:sz w:val="18"/>
                <w:szCs w:val="18"/>
                <w:b w:val="1"/>
                <w:bCs w:val="1"/>
                <w:color w:val="auto"/>
              </w:rPr>
              <w:t>Positions and Offices Held</w:t>
            </w:r>
          </w:p>
        </w:tc>
      </w:tr>
      <w:tr>
        <w:trPr>
          <w:trHeight w:val="202"/>
        </w:trPr>
        <w:tc>
          <w:tcPr>
            <w:tcW w:w="3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w:t>
            </w:r>
          </w:p>
        </w:tc>
        <w:tc>
          <w:tcPr>
            <w:tcW w:w="140" w:type="dxa"/>
            <w:vAlign w:val="bottom"/>
          </w:tcPr>
          <w:p>
            <w:pPr>
              <w:spacing w:after="0"/>
              <w:rPr>
                <w:sz w:val="17"/>
                <w:szCs w:val="17"/>
                <w:color w:val="auto"/>
              </w:rPr>
            </w:pPr>
          </w:p>
        </w:tc>
        <w:tc>
          <w:tcPr>
            <w:tcW w:w="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Stephen L. Silvestro</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Chief Commercial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Miriam J. Paramore</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Chairperson and 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Febbo joined our company as Chief Executive Officer and Director on February 22, 2016. Mr. Febbo brings more than 20 years of experience in building and managing health services and financial businesses. Before joining our company. From 2007 to 2015, he worked with Merriman Holdings, Inc., an investment banking firm. There he served as Chief Operating Officer and assisted with capital raises in the tech, biotech, cleantech, consumer and resources industries. Prior to Merriman, Mr Febbo was CEO and co-founder of MedPanel, a provider of market intelligence and communications for the pharmaceutical, biomedical, and medical device industries, which was eventually acquired by MCF Corporation.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Febbo holds a Bachelor of Arts in International Studies from Dickinson College, in Pennsylvania. Febbo serves on the board of The United Nations of Greater Boston, a non-profit focused on building global citizens within inner-city schools in Massachusetts, is faculty on the MIT linq program and currently serves as a board member of Modular Medical (MODD).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L. Silvestro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Silvestro joined the company as Chief Commercial Officer on April 29, 2019. Mr. Silvestro was with CCH® Tagetik as its Vice President and General Manager from January 2018 until he joined us. From April 2017 to January 2018, Mr. Silvestro was with Prognos as its Chief Commercial Officer and, before that, from September 2007 to April 2017, he was with Decision Resources Group in various capacitates with him last serving as Executive Vice President, Head of Global Sales.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color w:val="auto"/>
        </w:rPr>
        <w:t>Aside from that provided above, Mr. Silvestro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located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is the CEO of Eversana, a leading independent provider of global commercial services to the life science industry, and also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Spangler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Spangler presently serves as CFO of VigiLanz, a digital healthcare intelligence firm, and as a member of the board of directors of Lifespace Communities. He has more than 30 years of experience in the health care industry, executing domestic and international growth and exit strategies. He has helped lead high-performance, emerging growth firms, as well as large publicly-traded companies.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Earlier, Mr. Spangler served as executive vice president and CFO of Healthland, an EHR company serving the critical access hospital market. He has also served as CFO at the point-of-care medical applications provider, Epocrates, that he helped bring public in 2011, and which was eventually acquired by Athenahealth. Prior to Epocrates, he was CFO of the ev3, a vascular therapy that went public in 2005 and then acquired by Covidien, as well as CFO of the medical device manufacturer, Empi, which was acquired by Encore Medical.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Spangler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Spangler is qualified to serve on our Board of Directors because of his extensive executive skills and background in the healthcare industry and his finance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Baker has served as our CFO since May 19, 2014. Mr. Baker is a Certified Public Account with a Master’s Degree in Business Administration. He has extensive business experience including 9 years in public accounting with Plante Moran, four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was a member of the Board Directors of Total Health Care, Inc., a Detroit based Health Maintenance Organization from 1987 through January 2020, including his latest role as Chairman of the Board, until it was acquired by Priority Health, a Michigan based HMO in January 2020. He became a member of the Priority Health Board in January 2020.</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47"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We currently have five (5)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other than as set forth below,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1" w:lineRule="auto"/>
        <w:tabs>
          <w:tab w:leader="none" w:pos="17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8" w:lineRule="exact"/>
        <w:rPr>
          <w:rFonts w:ascii="Arial" w:cs="Arial" w:eastAsia="Arial" w:hAnsi="Arial"/>
          <w:sz w:val="16"/>
          <w:szCs w:val="16"/>
          <w:color w:val="auto"/>
        </w:rPr>
      </w:pPr>
    </w:p>
    <w:p>
      <w:pPr>
        <w:ind w:firstLine="8"/>
        <w:spacing w:after="0" w:line="277" w:lineRule="auto"/>
        <w:tabs>
          <w:tab w:leader="none" w:pos="1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conviction in a criminal proceeding or being named a subject of a pending criminal proceeding (excluding traffic violations and other minor offenses);</w:t>
      </w:r>
    </w:p>
    <w:p>
      <w:pPr>
        <w:spacing w:after="0" w:line="170" w:lineRule="exact"/>
        <w:rPr>
          <w:rFonts w:ascii="Arial" w:cs="Arial" w:eastAsia="Arial" w:hAnsi="Arial"/>
          <w:sz w:val="18"/>
          <w:szCs w:val="18"/>
          <w:color w:val="auto"/>
        </w:rPr>
      </w:pPr>
    </w:p>
    <w:p>
      <w:pPr>
        <w:ind w:right="20"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8"/>
        <w:spacing w:after="0" w:line="286"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5" w:lineRule="exact"/>
        <w:rPr>
          <w:rFonts w:ascii="Arial" w:cs="Arial" w:eastAsia="Arial" w:hAnsi="Arial"/>
          <w:sz w:val="17"/>
          <w:szCs w:val="17"/>
          <w:color w:val="auto"/>
        </w:rPr>
      </w:pPr>
    </w:p>
    <w:p>
      <w:pPr>
        <w:ind w:firstLine="8"/>
        <w:spacing w:after="0" w:line="277" w:lineRule="auto"/>
        <w:tabs>
          <w:tab w:leader="none" w:pos="1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3" w:lineRule="auto"/>
        <w:tabs>
          <w:tab w:leader="none" w:pos="2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3" w:lineRule="exact"/>
        <w:rPr>
          <w:rFonts w:ascii="Arial" w:cs="Arial" w:eastAsia="Arial" w:hAnsi="Arial"/>
          <w:sz w:val="18"/>
          <w:szCs w:val="18"/>
          <w:color w:val="auto"/>
        </w:rPr>
      </w:pPr>
    </w:p>
    <w:p>
      <w:pPr>
        <w:ind w:firstLine="8"/>
        <w:spacing w:after="0" w:line="277" w:lineRule="auto"/>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8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29, 2018, FINRA accepted a Letter of Acceptance, Waiver and Consent (No. 2015044865501) (the “Consent”) submitted by William Febbo. From August 2012 to October 2015, Mr. Febbo was the Financial and Operations Principal (FinOp) for a registered broker-dealer, Merriman Capital, Inc. (Merriman). During certain months while Mr. Febbo was FINOP, FINRA found that certain of Merriman’s net capital filings with FINRA were inaccurate because of the method by which Merriman calculated net capital and that, when corrected, it was retroactively determined that Merriman had operated below its minimum net capital requirements. Febbo, as FinOp, signed certain of these reports and was thus held responsible. Based on the Consent, in settlement, Mr. Febbo, who was then no longer registered with any broker-dealer, accepted a fine of $5,000 and a 10-business day suspension from acting as FinOp for any FINRA member.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three standing committees to facilitate and assist the Board of Directors in the execution of its responsibilities: (1) Nominating and Governance Committee; (2) Audit Committee and (3) Compensation Committee. Each committee acts pursuant to a written charter adopted by the Board of Directors. Each committee’s charter is available on our corporate website at http://www.optimizerx.com. (The information contained in our website is not incorporated into this Annual Report on Form 10-K.) All of the committees are comprised solely of non-employee, independent directors as defined by Nasdaq market listing standards.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Board of Directors has established a Nominating and Governance Committee. In 2019, the committee members were Directors Vos (Chair), Lang, and Halas. The Nominating and Corporate Governance Committee held 4 meetings during the fiscal year ended December 31, 2019. The Nominating and Corporate Governance Committee’s responsibilities, which are discussed in detail in its charter, include the responsibility to:</w:t>
      </w:r>
    </w:p>
    <w:p>
      <w:pPr>
        <w:spacing w:after="0" w:line="16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Board of Directors has established a Compensation Committee. The Compensation Committee held 4 meetings during the fiscal year ended December 31, 2019, and held other informal discussions as needed. In 2019, the Committee was composed of Directors Halas, Spangler, and Lang, and is chaired by Director Lang. The Compensation Committee’s responsibilities, which are discussed in detail in its charter, include the responsibility to:</w:t>
      </w:r>
    </w:p>
    <w:p>
      <w:pPr>
        <w:spacing w:after="0" w:line="149"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Review and approve any severance or termination payments proposed to be made to any current or former officer of our company;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the Audit Committee was comprised of Directors Halas, Spangler and Vos, and is chaired by Director Spangler. The Audit Committee held four meetings during the fiscal year ended December 31, 2019 and held informal discussions as necessary.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Audit Committee approves the selection of our independent accountants and meets and interacts with the independent accountants to discuss issues related to financial reporting. In addition, the Audit Committee reviews the scope and results of the audit with the independent accountants, reviews with management and the independent accountants our annual operating results, considers the adequacy of our internal accounting procedures, including our internal control over financial reporting, and considers other auditing and accounting matters including fees to be paid to the independent auditor and the performance of the independent auditor.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2019, the Audit Committee:</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Audit Committee’s review and discussion of the matters above, the board of directors authorized inclusion of the audited financial statements for the year ended December 31, 2019 to be included in this Annual Report on Form 10-K and filed with the Securities and Exchange Commission.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determined that each member of the Audit Committee qualifies as an audit committee financial expert as defined under applicable SEC rules and also meets the additional criteria for independence of audit committee members set forth in Rule 10A-3(b)(1) under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2019, other than AWM Investment Company, Inc., which was late in one instance in filing its Form 4 obligation.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Board of Directors adopted a Code of Ethics for the Company, which was attached to our 2017 Annual Report on Form 10-K as Exhibit 14.1.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current executive officers for the fiscal years ended December 31, 2019 and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Option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All Other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Salary</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Bonus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Awards</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Total</w:t>
            </w:r>
          </w:p>
        </w:tc>
      </w:tr>
      <w:tr>
        <w:trPr>
          <w:trHeight w:val="237"/>
        </w:trPr>
        <w:tc>
          <w:tcPr>
            <w:tcW w:w="228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1020" w:type="dxa"/>
            <w:vAlign w:val="bottom"/>
            <w:gridSpan w:val="2"/>
          </w:tcPr>
          <w:p>
            <w:pPr>
              <w:ind w:left="280"/>
              <w:spacing w:after="0"/>
              <w:rPr>
                <w:sz w:val="20"/>
                <w:szCs w:val="20"/>
                <w:color w:val="auto"/>
              </w:rPr>
            </w:pPr>
            <w:r>
              <w:rPr>
                <w:rFonts w:ascii="Arial" w:cs="Arial" w:eastAsia="Arial" w:hAnsi="Arial"/>
                <w:sz w:val="18"/>
                <w:szCs w:val="18"/>
                <w:color w:val="auto"/>
              </w:rPr>
              <w:t>Year</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J. Febbo (1)</w:t>
            </w:r>
          </w:p>
        </w:tc>
        <w:tc>
          <w:tcPr>
            <w:tcW w:w="120" w:type="dxa"/>
            <w:vAlign w:val="bottom"/>
          </w:tcPr>
          <w:p>
            <w:pPr>
              <w:spacing w:after="0"/>
              <w:rPr>
                <w:sz w:val="17"/>
                <w:szCs w:val="17"/>
                <w:color w:val="auto"/>
              </w:rPr>
            </w:pPr>
          </w:p>
        </w:tc>
        <w:tc>
          <w:tcPr>
            <w:tcW w:w="900" w:type="dxa"/>
            <w:vAlign w:val="bottom"/>
            <w:tcBorders>
              <w:top w:val="single" w:sz="8" w:color="auto"/>
            </w:tcBorders>
          </w:tcPr>
          <w:p>
            <w:pPr>
              <w:ind w:left="260"/>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300,000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126,990</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391,800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83"/>
              </w:rPr>
              <w:t>15,200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833,990</w:t>
            </w:r>
          </w:p>
        </w:tc>
        <w:tc>
          <w:tcPr>
            <w:tcW w:w="20" w:type="dxa"/>
            <w:vAlign w:val="bottom"/>
          </w:tcPr>
          <w:p>
            <w:pPr>
              <w:spacing w:after="0"/>
              <w:rPr>
                <w:sz w:val="17"/>
                <w:szCs w:val="17"/>
                <w:color w:val="auto"/>
              </w:rPr>
            </w:pP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CEO, Director</w:t>
            </w:r>
          </w:p>
        </w:tc>
        <w:tc>
          <w:tcPr>
            <w:tcW w:w="900" w:type="dxa"/>
            <w:vAlign w:val="bottom"/>
          </w:tcPr>
          <w:p>
            <w:pPr>
              <w:ind w:left="2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275,000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294,838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336,000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17,300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923,138</w:t>
            </w: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Stephen L.Silvestro</w:t>
            </w:r>
          </w:p>
        </w:tc>
        <w:tc>
          <w:tcPr>
            <w:tcW w:w="900" w:type="dxa"/>
            <w:vAlign w:val="bottom"/>
          </w:tcPr>
          <w:p>
            <w:pPr>
              <w:ind w:left="260"/>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188,821</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82,678</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938,700</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ind w:left="10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1,120,199</w:t>
            </w: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Chief Commercial Officer</w:t>
            </w:r>
          </w:p>
        </w:tc>
        <w:tc>
          <w:tcPr>
            <w:tcW w:w="900" w:type="dxa"/>
            <w:vAlign w:val="bottom"/>
          </w:tcPr>
          <w:p>
            <w:pPr>
              <w:ind w:left="2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Miriam Paramore (2)</w:t>
            </w:r>
          </w:p>
        </w:tc>
        <w:tc>
          <w:tcPr>
            <w:tcW w:w="900" w:type="dxa"/>
            <w:vAlign w:val="bottom"/>
          </w:tcPr>
          <w:p>
            <w:pPr>
              <w:ind w:left="260"/>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70,550</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130,600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83"/>
              </w:rPr>
              <w:t>11,200</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462,350</w:t>
            </w: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President</w:t>
            </w:r>
          </w:p>
        </w:tc>
        <w:tc>
          <w:tcPr>
            <w:tcW w:w="900" w:type="dxa"/>
            <w:vAlign w:val="bottom"/>
          </w:tcPr>
          <w:p>
            <w:pPr>
              <w:ind w:left="2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232,500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131,781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11,000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445,281</w:t>
            </w: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Douglas P. Baker (3)</w:t>
            </w:r>
          </w:p>
        </w:tc>
        <w:tc>
          <w:tcPr>
            <w:tcW w:w="900" w:type="dxa"/>
            <w:vAlign w:val="bottom"/>
          </w:tcPr>
          <w:p>
            <w:pPr>
              <w:ind w:left="260"/>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240,000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67,728</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130,600</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tcBorders>
              <w:top w:val="single" w:sz="8" w:color="auto"/>
            </w:tcBorders>
          </w:tcPr>
          <w:p>
            <w:pPr>
              <w:ind w:left="620"/>
              <w:spacing w:after="0" w:line="201" w:lineRule="exact"/>
              <w:rPr>
                <w:sz w:val="20"/>
                <w:szCs w:val="20"/>
                <w:color w:val="auto"/>
              </w:rPr>
            </w:pPr>
            <w:r>
              <w:rPr>
                <w:rFonts w:ascii="Arial" w:cs="Arial" w:eastAsia="Arial" w:hAnsi="Arial"/>
                <w:sz w:val="18"/>
                <w:szCs w:val="18"/>
                <w:color w:val="auto"/>
                <w:w w:val="83"/>
              </w:rPr>
              <w:t>11,200</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449,528</w:t>
            </w:r>
          </w:p>
        </w:tc>
      </w:tr>
      <w:tr>
        <w:trPr>
          <w:trHeight w:val="244"/>
        </w:trPr>
        <w:tc>
          <w:tcPr>
            <w:tcW w:w="2280" w:type="dxa"/>
            <w:vAlign w:val="bottom"/>
            <w:gridSpan w:val="2"/>
          </w:tcPr>
          <w:p>
            <w:pPr>
              <w:spacing w:after="0"/>
              <w:rPr>
                <w:sz w:val="20"/>
                <w:szCs w:val="20"/>
                <w:color w:val="auto"/>
              </w:rPr>
            </w:pPr>
            <w:r>
              <w:rPr>
                <w:rFonts w:ascii="Arial" w:cs="Arial" w:eastAsia="Arial" w:hAnsi="Arial"/>
                <w:sz w:val="18"/>
                <w:szCs w:val="18"/>
                <w:i w:val="1"/>
                <w:iCs w:val="1"/>
                <w:color w:val="auto"/>
              </w:rPr>
              <w:t>CFO</w:t>
            </w:r>
          </w:p>
        </w:tc>
        <w:tc>
          <w:tcPr>
            <w:tcW w:w="900" w:type="dxa"/>
            <w:vAlign w:val="bottom"/>
          </w:tcPr>
          <w:p>
            <w:pPr>
              <w:ind w:left="26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220,000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124,696</w:t>
            </w:r>
          </w:p>
        </w:tc>
        <w:tc>
          <w:tcPr>
            <w:tcW w:w="2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11,000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425,696</w:t>
            </w: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Febbo in 2018 is composed of $11,000 employer matching contributions to the Company’s retirement plan, $4,000 for a term life policy, and $2,300 for legal fees. The 2019 amounts are $10,800 employer matching contributions to the Company’s retirement plan and the balance for a term life policy.</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for both years reflects employer matching contributions to the Company’s retirement plan.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Mr. Baker in both years represents employer matching contributions to the Company’s retirement plan.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Febbo joined the Company as CEO on February 22, 2016. On September 10, 2018, Mr. Febbo signed a new employment agreement calling for a base salary of $275,000 in 2018 and $300,000 in 2019. In March 2020, the Board of Directors amended his contract to provide a base salary of $350,000 per year in 2020 and $400,000 per year in 2021. In addition, he is eligible to participate in the Company’s executive bonus plan with a target bonus of 60% of his annual salary. He is also eligible for vacation, sick days, insurance, to participate in the Company’s 401k plan, and other benefits covering all employees. Mr. Febbo’s contract also calls for him to be reimbursed $4,000 per year for a separate term life insurance policy. Mr. Febbo’s contract calls for 12 months of severance if he is terminated without cause.</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February 2018, the Board of Directors agreed to accelerate vesting on 100,000 of Mr. Febbo’s options that were originally scheduled to vest on the fifth anniversary of his contract in 2021, by three years, to vest in February 2018. In February 2019, the Board of Directors agreed to accelerate the vesting of the remaining 100,000 unvested options held by Mr. Febbo from February 2020 to February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granted to Mr. Febbo 80,000 shares of restricted common stock in February 2018 that vest if the Company achieved targeted stretch revenue goals in either 2018 or 2019. The Company achieved those targeted revenues in 2018, so the shares vested. In February 2019, the Board of Directors also granted Mr. Febbo an additional 30,000 shares of restricted common stock if the Company achieves certain targeted stretch revenue goals in 2019. Those goals were not achieved, so the shares did not vest. In March 2020, the Board of Directors granted Mr. Febbo an additional 84,786 shares of restricted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Mr. Silvestro joined the Company as Chief Commercial Officer on April 29, 2019. Under the terms of his employment agreement, he received an annual base salary of $280,000 and a signing bonus of $30,000, paid in two installments of $15,000 in 2019. In March 2020, the Board of Directors amended his contract to increase his base salary to $300,000 for 2020. In addition, he was eligible to participate in the Company’s executive bonus plan with a target bonus of 40% of his annual salary. In March 2020, the Board increased his target bonus percentage to 50% of his base salary. He is also eligible for vacation, sick days, insurance, to participate in the Company’s 401k plan, and other benefits covering all employees. Mr. Silvestro’s contract also calls for 12 months of severance if he is terminated without cause.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Silvestro also received a grant of 90,000 shares of restricted common stock at the time of his employment. The grant vests all at one time upon completion of five years of employment. In March 2020, the Board of Directors granted Mr. Silvestro 105,993 options, which vest quarterly throughout 2020, to purchase shares of common stock at a price of $7.54 per share.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Paramore joined the Company as President on August 1, 2017. On September 10, 2018 Ms. Paramore signed a new employment agreement calling for a base salary of $250,000. In March 2020, the Board of Directors amended her contract to increase her base salary to $275,000 for 2020. In addition, she is eligible to participate in the Company’s executive bonus plan with a target bonus of 40% of her annual salary. She is also eligible for vacation, sick days, insurance, to participate in the Company’s 401k plan, and other benefits covering all employees. Ms. Paramore’s contract also calls for 12 months of severance if she is terminated without cause.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her contract, in 2017, the Company also granted to Ms. Paramore an option to purchase 166,667 shares of common stock, exercisable at a price of $3.15 per share, and vesting annually over a period of 5 years. Ms. Paramore was also granted 16,667 shares of restricted common stock in February 2018 that vest if the Company achieved targeted stretch revenue goals in either 2018 or 2019. The Company achieved those targeted revenues in 2018, so the shares vested. In February 2019, the Board of Directors also granted Ms. Paramore an additional 10,000 shares of restricted common stock if the Company achieves certain targeted stretch revenue goals in 2019. Those goals were not achieved, so the shares did not vest. In March 2020, the Board of Directors granted Ms. Paramore 63,558 options, which vest quarterly through 2020, to purchase shares of common stock at a price of $7.54 per share.</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10, 2018, Mr. Baker signed a new employment agreement calling for a base salary of $220,000. In February 2019, Mr. Baker signed an amended employment agreement increasing his base salary to $240,000 for 2019. In March 2020, the Board of Directors amended his contract to increase his base salary to $260,000 for 2020. In addition, he is eligible to participate in the Company’s executive bonus plan with a target bonus of 40% of his annual salary. He is also eligible for vacation, sick days, insurance, to participate in the Company’s 401k plan, and other benefits covering all employees. Mr. Baker’s contract calls for 12 months of severance if he is terminated without cause. In February 2019, Mr. Baker signed an amended employment agreement increasing his base salary to $240,000 for 2019.</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Baker was also granted 16,667 shares of restricted common stock in February 2018 that vests if the Company achieves targeted stretch revenue goals in either 2018 or 2019. The Company achieved those targeted revenues in 2018, so the shares vested. In February 2019, the Board of Directors also granted Mr. Baker an additional 10,000 shares of restricted common stock if the Company achieves certain targeted stretch revenue goals in 2019. Those goals were not achieved, so the shares did not vest. In March 2020, the Board of Directors granted Mr. Baker 63,558 options, which vest quarterly through 2020, to purchase shares of common stock at a price of $7.54 per share.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four executive officers, the executive bonus plan contains a provision whereby each officer could receive a bonus ranging from $0 to $1.0 million if a change of control transaction occurs prior to December 31, 2021, depending up on the transaction price.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300" w:type="dxa"/>
            <w:vAlign w:val="bottom"/>
            <w:tcBorders>
              <w:top w:val="single" w:sz="8" w:color="auto"/>
              <w:bottom w:val="single" w:sz="8" w:color="auto"/>
            </w:tcBorders>
            <w:gridSpan w:val="4"/>
          </w:tcPr>
          <w:p>
            <w:pPr>
              <w:jc w:val="right"/>
              <w:ind w:right="480"/>
              <w:spacing w:after="0"/>
              <w:rPr>
                <w:sz w:val="20"/>
                <w:szCs w:val="20"/>
                <w:color w:val="auto"/>
              </w:rPr>
            </w:pPr>
            <w:r>
              <w:rPr>
                <w:rFonts w:ascii="Arial" w:cs="Arial" w:eastAsia="Arial" w:hAnsi="Arial"/>
                <w:sz w:val="18"/>
                <w:szCs w:val="18"/>
                <w:color w:val="auto"/>
              </w:rPr>
              <w:t>OPTION AWARDS</w:t>
            </w:r>
          </w:p>
        </w:tc>
        <w:tc>
          <w:tcPr>
            <w:tcW w:w="8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rPr>
              <w:t>STOCK AWARDS</w:t>
            </w:r>
          </w:p>
        </w:tc>
        <w:tc>
          <w:tcPr>
            <w:tcW w:w="6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r>
      <w:tr>
        <w:trPr>
          <w:trHeight w:val="202"/>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Incentive</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Market</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or</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Payout</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Incentive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Market</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8"/>
              </w:rPr>
              <w:t>Unearned</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Unearned</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of</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Shares,</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Awards: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6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Units or</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or Units</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or Units</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Number of</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of Stock</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of Stock</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Rights</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Securities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Securities</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That</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That</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That</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That</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Underlying</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Underlying</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Unexercised</w:t>
            </w:r>
          </w:p>
        </w:tc>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Option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Have</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Have</w:t>
            </w:r>
          </w:p>
        </w:tc>
        <w:tc>
          <w:tcPr>
            <w:tcW w:w="18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Have</w:t>
            </w: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Have</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Unexercised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Unexercised</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Unearned</w:t>
            </w:r>
          </w:p>
        </w:tc>
        <w:tc>
          <w:tcPr>
            <w:tcW w:w="840" w:type="dxa"/>
            <w:vAlign w:val="bottom"/>
            <w:gridSpan w:val="3"/>
          </w:tcPr>
          <w:p>
            <w:pPr>
              <w:ind w:left="20"/>
              <w:spacing w:after="0"/>
              <w:rPr>
                <w:sz w:val="20"/>
                <w:szCs w:val="20"/>
                <w:color w:val="auto"/>
              </w:rPr>
            </w:pPr>
            <w:r>
              <w:rPr>
                <w:rFonts w:ascii="Arial" w:cs="Arial" w:eastAsia="Arial" w:hAnsi="Arial"/>
                <w:sz w:val="18"/>
                <w:szCs w:val="18"/>
                <w:color w:val="auto"/>
              </w:rPr>
              <w:t>Exercise</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8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Not</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Not</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Not</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Options (#)</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Options (#)</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Options</w:t>
            </w:r>
          </w:p>
        </w:tc>
        <w:tc>
          <w:tcPr>
            <w:tcW w:w="10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Expiration</w:t>
            </w: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Vested</w:t>
            </w:r>
          </w:p>
        </w:tc>
        <w:tc>
          <w:tcPr>
            <w:tcW w:w="18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Vested</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r>
      <w:tr>
        <w:trPr>
          <w:trHeight w:val="237"/>
        </w:trPr>
        <w:tc>
          <w:tcPr>
            <w:tcW w:w="2820" w:type="dxa"/>
            <w:vAlign w:val="bottom"/>
            <w:gridSpan w:val="2"/>
          </w:tcPr>
          <w:p>
            <w:pPr>
              <w:spacing w:after="0"/>
              <w:rPr>
                <w:sz w:val="20"/>
                <w:szCs w:val="20"/>
                <w:color w:val="auto"/>
              </w:rPr>
            </w:pPr>
            <w:r>
              <w:rPr>
                <w:rFonts w:ascii="Arial" w:cs="Arial" w:eastAsia="Arial" w:hAnsi="Arial"/>
                <w:sz w:val="18"/>
                <w:szCs w:val="18"/>
                <w:color w:val="auto"/>
              </w:rPr>
              <w:t>Name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Unexercisable</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20"/>
                <w:szCs w:val="20"/>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Date</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r>
      <w:tr>
        <w:trPr>
          <w:trHeight w:val="202"/>
        </w:trPr>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 Febbo</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470,000</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02/21/21</w:t>
            </w: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Steve Silvestro</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90,000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Miriam Paramore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66,667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07/27/22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Douglas Baker</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28,334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06/24/20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100,001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03/31/22</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Fees Earned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or Paid in</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All Other</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Cash</w:t>
            </w: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Awards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Awards</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w w:val="96"/>
              </w:rPr>
              <w:t>Compensation</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Total</w:t>
            </w: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Name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8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2"/>
        </w:trPr>
        <w:tc>
          <w:tcPr>
            <w:tcW w:w="5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Gus D. Halas</w:t>
            </w:r>
          </w:p>
        </w:tc>
        <w:tc>
          <w:tcPr>
            <w:tcW w:w="10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43,500</w:t>
            </w:r>
          </w:p>
        </w:tc>
        <w:tc>
          <w:tcPr>
            <w:tcW w:w="220" w:type="dxa"/>
            <w:vAlign w:val="bottom"/>
          </w:tcPr>
          <w:p>
            <w:pPr>
              <w:spacing w:after="0"/>
              <w:rPr>
                <w:sz w:val="17"/>
                <w:szCs w:val="17"/>
                <w:color w:val="auto"/>
              </w:rPr>
            </w:pPr>
          </w:p>
        </w:tc>
        <w:tc>
          <w:tcPr>
            <w:tcW w:w="88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w w:val="82"/>
              </w:rPr>
              <w:t>111,848</w:t>
            </w:r>
          </w:p>
        </w:tc>
        <w:tc>
          <w:tcPr>
            <w:tcW w:w="220" w:type="dxa"/>
            <w:vAlign w:val="bottom"/>
          </w:tcPr>
          <w:p>
            <w:pPr>
              <w:spacing w:after="0"/>
              <w:rPr>
                <w:sz w:val="17"/>
                <w:szCs w:val="17"/>
                <w:color w:val="auto"/>
              </w:rPr>
            </w:pPr>
          </w:p>
        </w:tc>
        <w:tc>
          <w:tcPr>
            <w:tcW w:w="88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155,348</w:t>
            </w:r>
          </w:p>
        </w:tc>
        <w:tc>
          <w:tcPr>
            <w:tcW w:w="20" w:type="dxa"/>
            <w:vAlign w:val="bottom"/>
          </w:tcPr>
          <w:p>
            <w:pPr>
              <w:spacing w:after="0"/>
              <w:rPr>
                <w:sz w:val="17"/>
                <w:szCs w:val="17"/>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111,848</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141,848</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33,500</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111,848</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145,348</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33,000</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111,848</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144,848</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Director Compensation Plan, independent directors (“Outside Directors”) received:</w:t>
      </w:r>
    </w:p>
    <w:p>
      <w:pPr>
        <w:spacing w:after="0" w:line="225"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annual cash retainer for Board and Committee service in 2019 as set forth in the table below, payable in equal quarterly installments, and</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reimbursement for expenses related to Board meeting attendance and any committee participation.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2"/>
              </w:rPr>
              <w:t xml:space="preserve">Annual Fee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w:t>
            </w: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Basic Director Fee</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25,000</w:t>
            </w:r>
          </w:p>
        </w:tc>
        <w:tc>
          <w:tcPr>
            <w:tcW w:w="20" w:type="dxa"/>
            <w:vAlign w:val="bottom"/>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Board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12,500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Outside Directors also each received 8,336 shares of Common Stock per year, payable in equal quarterly installments, which vested immediately upon issuance. Directors that are also employees of our company shall not receive additional compensation for serving on the Board. Both the cash retainer and stock awards are prorated for partial quarters of service when a new Director joins the Board.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March 2020, the Board amended the Outside Director plan to increase the annual cash fees, payable quarterly, as set forth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2"/>
              </w:rPr>
              <w:t xml:space="preserve">Annual Fee </w:t>
            </w:r>
            <w:r>
              <w:rPr>
                <w:rFonts w:ascii="Arial" w:cs="Arial" w:eastAsia="Arial" w:hAnsi="Arial"/>
                <w:sz w:val="18"/>
                <w:szCs w:val="18"/>
                <w:u w:val="single" w:color="auto"/>
                <w:color w:val="auto"/>
                <w:w w:val="92"/>
              </w:rPr>
              <w:t>($</w:t>
            </w:r>
            <w:r>
              <w:rPr>
                <w:rFonts w:ascii="Arial" w:cs="Arial" w:eastAsia="Arial" w:hAnsi="Arial"/>
                <w:sz w:val="18"/>
                <w:szCs w:val="18"/>
                <w:color w:val="auto"/>
                <w:w w:val="92"/>
              </w:rPr>
              <w:t>)</w:t>
            </w: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Basic Director Fee</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40,000</w:t>
            </w:r>
          </w:p>
        </w:tc>
        <w:tc>
          <w:tcPr>
            <w:tcW w:w="20" w:type="dxa"/>
            <w:vAlign w:val="bottom"/>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Board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Audit Committee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5,500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Compensation Committee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w w:val="96"/>
              </w:rPr>
              <w:t>In addition, the Outside Directors will receive common shares valued at $100,000 annually, payable in equal quarterly installments.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March 24, 2020. For the purposes of this Annual Report,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More Than 5% Beneficial Owners:</w:t>
            </w: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Class</w:t>
            </w:r>
          </w:p>
        </w:tc>
      </w:tr>
      <w:tr>
        <w:trPr>
          <w:trHeight w:val="202"/>
        </w:trPr>
        <w:tc>
          <w:tcPr>
            <w:tcW w:w="3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Common</w:t>
            </w:r>
          </w:p>
        </w:tc>
        <w:tc>
          <w:tcPr>
            <w:tcW w:w="120" w:type="dxa"/>
            <w:vAlign w:val="bottom"/>
          </w:tcPr>
          <w:p>
            <w:pPr>
              <w:spacing w:after="0"/>
              <w:rPr>
                <w:sz w:val="17"/>
                <w:szCs w:val="17"/>
                <w:color w:val="auto"/>
              </w:rPr>
            </w:pPr>
          </w:p>
        </w:tc>
        <w:tc>
          <w:tcPr>
            <w:tcW w:w="4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Park West Asset Management(1)</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900 Larkspur Landing Circle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Suite 165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Larkspur, CA 94939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814,668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4580" w:type="dxa"/>
            <w:vAlign w:val="bottom"/>
            <w:gridSpan w:val="2"/>
          </w:tcPr>
          <w:p>
            <w:pPr>
              <w:spacing w:after="0"/>
              <w:rPr>
                <w:sz w:val="20"/>
                <w:szCs w:val="20"/>
                <w:color w:val="auto"/>
              </w:rPr>
            </w:pPr>
            <w:r>
              <w:rPr>
                <w:rFonts w:ascii="Arial" w:cs="Arial" w:eastAsia="Arial" w:hAnsi="Arial"/>
                <w:sz w:val="18"/>
                <w:szCs w:val="18"/>
                <w:color w:val="auto"/>
              </w:rPr>
              <w:t>AWM Investment(2)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527 Madison Ave. Suite 2600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952,027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4580" w:type="dxa"/>
            <w:vAlign w:val="bottom"/>
            <w:gridSpan w:val="2"/>
          </w:tcPr>
          <w:p>
            <w:pPr>
              <w:spacing w:after="0"/>
              <w:rPr>
                <w:sz w:val="20"/>
                <w:szCs w:val="20"/>
                <w:color w:val="auto"/>
              </w:rPr>
            </w:pPr>
            <w:r>
              <w:rPr>
                <w:rFonts w:ascii="Arial" w:cs="Arial" w:eastAsia="Arial" w:hAnsi="Arial"/>
                <w:sz w:val="18"/>
                <w:szCs w:val="18"/>
                <w:color w:val="auto"/>
              </w:rPr>
              <w:t>BlackRock, Inc.(3)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55 East 52nd Street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New York, NY 10055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938,436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4580" w:type="dxa"/>
            <w:vAlign w:val="bottom"/>
            <w:gridSpan w:val="2"/>
          </w:tcPr>
          <w:p>
            <w:pPr>
              <w:spacing w:after="0"/>
              <w:rPr>
                <w:sz w:val="20"/>
                <w:szCs w:val="20"/>
                <w:color w:val="auto"/>
              </w:rPr>
            </w:pPr>
            <w:r>
              <w:rPr>
                <w:rFonts w:ascii="Arial" w:cs="Arial" w:eastAsia="Arial" w:hAnsi="Arial"/>
                <w:sz w:val="18"/>
                <w:szCs w:val="18"/>
                <w:color w:val="auto"/>
              </w:rPr>
              <w:t>Harvey L. Poppel(4)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110 El Mirasol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Palm Beach, FL 33480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1,060,693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Common</w:t>
            </w:r>
          </w:p>
        </w:tc>
        <w:tc>
          <w:tcPr>
            <w:tcW w:w="4580" w:type="dxa"/>
            <w:vAlign w:val="bottom"/>
            <w:gridSpan w:val="2"/>
          </w:tcPr>
          <w:p>
            <w:pPr>
              <w:spacing w:after="0"/>
              <w:rPr>
                <w:sz w:val="20"/>
                <w:szCs w:val="20"/>
                <w:color w:val="auto"/>
              </w:rPr>
            </w:pPr>
            <w:r>
              <w:rPr>
                <w:rFonts w:ascii="Arial" w:cs="Arial" w:eastAsia="Arial" w:hAnsi="Arial"/>
                <w:sz w:val="18"/>
                <w:szCs w:val="18"/>
                <w:color w:val="auto"/>
              </w:rPr>
              <w:t>Ronald L. Chez(5)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55 East Monroe Street, Suite 3700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Chicago, IL 60603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1,122,918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7.7%</w:t>
            </w:r>
          </w:p>
        </w:tc>
      </w:tr>
    </w:tbl>
    <w:p>
      <w:pPr>
        <w:spacing w:after="0" w:line="202"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February 14,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February 12,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February 7,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January 13,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stated in a Schedule 13D/A filed with the Securities and Exchange Commission on September 27, 2019.</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March 24, 2020,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Options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Included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Restricted</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Common</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in Beneficial</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Percentage</w:t>
            </w:r>
          </w:p>
        </w:tc>
      </w:tr>
      <w:tr>
        <w:trPr>
          <w:trHeight w:val="237"/>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Name(1)</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Ownership (2)</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Awards (3)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Owned</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Ownership</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of Class</w:t>
            </w:r>
          </w:p>
        </w:tc>
        <w:tc>
          <w:tcPr>
            <w:tcW w:w="140" w:type="dxa"/>
            <w:vAlign w:val="bottom"/>
          </w:tcPr>
          <w:p>
            <w:pPr>
              <w:spacing w:after="0"/>
              <w:rPr>
                <w:sz w:val="20"/>
                <w:szCs w:val="20"/>
                <w:color w:val="auto"/>
              </w:rPr>
            </w:pPr>
          </w:p>
        </w:tc>
      </w:tr>
      <w:tr>
        <w:trPr>
          <w:trHeight w:val="418"/>
        </w:trPr>
        <w:tc>
          <w:tcPr>
            <w:tcW w:w="4620" w:type="dxa"/>
            <w:vAlign w:val="bottom"/>
            <w:gridSpan w:val="2"/>
          </w:tcPr>
          <w:p>
            <w:pPr>
              <w:spacing w:after="0"/>
              <w:rPr>
                <w:sz w:val="20"/>
                <w:szCs w:val="20"/>
                <w:color w:val="auto"/>
              </w:rPr>
            </w:pPr>
            <w:r>
              <w:rPr>
                <w:rFonts w:ascii="Arial" w:cs="Arial" w:eastAsia="Arial" w:hAnsi="Arial"/>
                <w:sz w:val="18"/>
                <w:szCs w:val="18"/>
                <w:color w:val="auto"/>
              </w:rPr>
              <w:t>William J. Febbo</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440,000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21,187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163,237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624,424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 Silvestro</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26,483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26,483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Miriam Paramore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115,891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24,079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139,970</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24,238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24,238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139,193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71,917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211,110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57,176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57,176</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Patrick Spangler</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14,683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14,683</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25,008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25,008</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w w:val="98"/>
              </w:rPr>
              <w:t>All Executive Officers and Directors as a group (8 persons)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721,567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21,187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380,338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1,123,092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March 24, 2020 and are included in common stock beneficial ownership pursuant to Rule 13d-3(d)(1) of the Exchange Act.</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column lists shares resulting from restricted stock awards that have vested as of March 24, 2020, but for which shares have not been issued.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2015, WPP made a strategic investment in the Company and was a shareholder that owned approximately 20% of the shares of the Company at the time. WPP sold its entire ownership position in December 2018, and is no longer a shareholder of the Company.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 in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0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4"/>
                <w:szCs w:val="24"/>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rPr>
              <w:t>Total billings to WPP Agencies</w:t>
            </w: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ind w:left="160"/>
              <w:spacing w:after="0" w:line="201" w:lineRule="exact"/>
              <w:rPr>
                <w:sz w:val="20"/>
                <w:szCs w:val="20"/>
                <w:color w:val="auto"/>
              </w:rPr>
            </w:pPr>
            <w:r>
              <w:rPr>
                <w:rFonts w:ascii="Arial" w:cs="Arial" w:eastAsia="Arial" w:hAnsi="Arial"/>
                <w:sz w:val="18"/>
                <w:szCs w:val="18"/>
                <w:color w:val="auto"/>
                <w:w w:val="87"/>
              </w:rPr>
              <w:t>6,217,735</w:t>
            </w:r>
          </w:p>
        </w:tc>
        <w:tc>
          <w:tcPr>
            <w:tcW w:w="20" w:type="dxa"/>
            <w:vAlign w:val="bottom"/>
          </w:tcPr>
          <w:p>
            <w:pPr>
              <w:spacing w:after="0"/>
              <w:rPr>
                <w:sz w:val="17"/>
                <w:szCs w:val="17"/>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6,527,051</w:t>
            </w: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Accounts receivable from WPP Agencies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w w:val="89"/>
              </w:rPr>
              <w:t>2,051,532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are tables of Audit Fees (amounts in US$) billed by our auditors in connection with the audit of the Company’s annual financial statements and review of the quarterly financial statements for the years indicated below: Our 2018 financial statements were audited by Sadler Gibb &amp; Associates. Our 2019 financial statements were audited by Marcum, LLP.</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Marcum, LLP</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Statements for the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Audit Services</w:t>
            </w: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Tax Fees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Other Fees</w:t>
            </w: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w w:val="86"/>
              </w:rPr>
              <w:t>396,850</w:t>
            </w:r>
          </w:p>
        </w:tc>
        <w:tc>
          <w:tcPr>
            <w:tcW w:w="260" w:type="dxa"/>
            <w:vAlign w:val="bottom"/>
          </w:tcPr>
          <w:p>
            <w:pPr>
              <w:spacing w:after="0"/>
              <w:rPr>
                <w:sz w:val="17"/>
                <w:szCs w:val="17"/>
                <w:color w:val="auto"/>
              </w:rPr>
            </w:pPr>
          </w:p>
        </w:tc>
        <w:tc>
          <w:tcPr>
            <w:tcW w:w="240" w:type="dxa"/>
            <w:vAlign w:val="bottom"/>
            <w:tcBorders>
              <w:top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Sadler Gibb &amp; Associates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5980" w:type="dxa"/>
            <w:vAlign w:val="bottom"/>
            <w:gridSpan w:val="2"/>
          </w:tcPr>
          <w:p>
            <w:pPr>
              <w:spacing w:after="0"/>
              <w:rPr>
                <w:sz w:val="20"/>
                <w:szCs w:val="20"/>
                <w:color w:val="auto"/>
              </w:rPr>
            </w:pPr>
            <w:r>
              <w:rPr>
                <w:rFonts w:ascii="Arial" w:cs="Arial" w:eastAsia="Arial" w:hAnsi="Arial"/>
                <w:sz w:val="18"/>
                <w:szCs w:val="18"/>
                <w:color w:val="auto"/>
              </w:rPr>
              <w:t>Financial Statements for the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Audit Related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Year Ended December 31</w:t>
            </w: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Audit Services</w:t>
            </w:r>
          </w:p>
        </w:tc>
        <w:tc>
          <w:tcPr>
            <w:tcW w:w="24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79"/>
              </w:rPr>
              <w:t>Fees</w:t>
            </w:r>
          </w:p>
        </w:tc>
        <w:tc>
          <w:tcPr>
            <w:tcW w:w="1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Tax Fees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Other Fees</w:t>
            </w: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320" w:type="dxa"/>
            <w:vAlign w:val="bottom"/>
            <w:tcBorders>
              <w:top w:val="single" w:sz="8" w:color="auto"/>
            </w:tcBorders>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w w:val="86"/>
              </w:rPr>
              <w:t>102,409</w:t>
            </w:r>
          </w:p>
        </w:tc>
        <w:tc>
          <w:tcPr>
            <w:tcW w:w="260" w:type="dxa"/>
            <w:vAlign w:val="bottom"/>
          </w:tcPr>
          <w:p>
            <w:pPr>
              <w:spacing w:after="0"/>
              <w:rPr>
                <w:sz w:val="17"/>
                <w:szCs w:val="17"/>
                <w:color w:val="auto"/>
              </w:rPr>
            </w:pPr>
          </w:p>
        </w:tc>
        <w:tc>
          <w:tcPr>
            <w:tcW w:w="240" w:type="dxa"/>
            <w:vAlign w:val="bottom"/>
            <w:tcBorders>
              <w:top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5,550</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88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116,430</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 Exhibits</w:t>
      </w:r>
    </w:p>
    <w:p>
      <w:pPr>
        <w:sectPr>
          <w:pgSz w:w="11900" w:h="16838" w:orient="portrait"/>
          <w:cols w:equalWidth="0" w:num="1">
            <w:col w:w="11220"/>
          </w:cols>
          <w:pgMar w:left="320" w:top="904" w:right="359" w:bottom="1440" w:gutter="0" w:footer="0" w:header="0"/>
        </w:sectPr>
      </w:pPr>
    </w:p>
    <w:p>
      <w:pPr>
        <w:spacing w:after="0" w:line="221"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740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4890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29"/>
            <w:szCs w:val="29"/>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Amended and Restated Bylaws of the Company</w:t>
        </w:r>
        <w:r>
          <w:rPr>
            <w:rFonts w:ascii="Arial" w:cs="Arial" w:eastAsia="Arial" w:hAnsi="Arial"/>
            <w:sz w:val="25"/>
            <w:szCs w:val="25"/>
            <w:u w:val="single" w:color="auto"/>
            <w:color w:val="0000EE"/>
            <w:vertAlign w:val="superscript"/>
          </w:rPr>
          <w:t>2</w:t>
        </w:r>
      </w:hyperlink>
    </w:p>
    <w:p>
      <w:pPr>
        <w:spacing w:after="0" w:line="214"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Certificate of Designation, filed on September 5, 2008 with the Secretary of State of the State of Nevada by the Company</w:t>
        </w:r>
        <w:r>
          <w:rPr>
            <w:rFonts w:ascii="Arial" w:cs="Arial" w:eastAsia="Arial" w:hAnsi="Arial"/>
            <w:sz w:val="29"/>
            <w:szCs w:val="29"/>
            <w:u w:val="single" w:color="auto"/>
            <w:color w:val="0000EE"/>
            <w:vertAlign w:val="superscript"/>
          </w:rPr>
          <w:t>1</w:t>
        </w:r>
      </w:hyperlink>
    </w:p>
    <w:p>
      <w:pPr>
        <w:spacing w:after="0" w:line="184"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Certificate of Designation, filed on June 3, 2010 with the Secretary of State of the State of Nevada by the Company</w:t>
        </w:r>
        <w:r>
          <w:rPr>
            <w:rFonts w:ascii="Arial" w:cs="Arial" w:eastAsia="Arial" w:hAnsi="Arial"/>
            <w:sz w:val="29"/>
            <w:szCs w:val="29"/>
            <w:u w:val="single" w:color="auto"/>
            <w:color w:val="0000EE"/>
            <w:vertAlign w:val="superscript"/>
          </w:rPr>
          <w:t>3</w:t>
        </w:r>
      </w:hyperlink>
    </w:p>
    <w:p>
      <w:pPr>
        <w:spacing w:after="0" w:line="180" w:lineRule="auto"/>
        <w:rPr>
          <w:rFonts w:ascii="Arial" w:cs="Arial" w:eastAsia="Arial" w:hAnsi="Arial"/>
          <w:sz w:val="16"/>
          <w:szCs w:val="16"/>
          <w:u w:val="single" w:color="auto"/>
          <w:color w:val="0000EE"/>
        </w:rPr>
      </w:pPr>
      <w:hyperlink r:id="rId120">
        <w:r>
          <w:rPr>
            <w:rFonts w:ascii="Arial" w:cs="Arial" w:eastAsia="Arial" w:hAnsi="Arial"/>
            <w:sz w:val="16"/>
            <w:szCs w:val="16"/>
            <w:u w:val="single" w:color="auto"/>
            <w:color w:val="0000EE"/>
          </w:rPr>
          <w:t>Certificate of Correction, dated April 30, 2018</w:t>
        </w:r>
        <w:r>
          <w:rPr>
            <w:rFonts w:ascii="Arial" w:cs="Arial" w:eastAsia="Arial" w:hAnsi="Arial"/>
            <w:sz w:val="25"/>
            <w:szCs w:val="25"/>
            <w:u w:val="single" w:color="auto"/>
            <w:color w:val="0000EE"/>
            <w:vertAlign w:val="superscript"/>
          </w:rPr>
          <w:t>4</w:t>
        </w:r>
      </w:hyperlink>
    </w:p>
    <w:p>
      <w:pPr>
        <w:spacing w:after="0" w:line="1" w:lineRule="exact"/>
        <w:rPr>
          <w:sz w:val="20"/>
          <w:szCs w:val="20"/>
          <w:color w:val="auto"/>
        </w:rPr>
      </w:pPr>
    </w:p>
    <w:p>
      <w:pPr>
        <w:ind w:right="4640"/>
        <w:spacing w:after="0" w:line="227" w:lineRule="auto"/>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Certificate of Withdrawal of Certificate of Designation, dated May 10, 2018</w:t>
        </w:r>
      </w:hyperlink>
      <w:r>
        <w:rPr>
          <w:rFonts w:ascii="Arial" w:cs="Arial" w:eastAsia="Arial" w:hAnsi="Arial"/>
          <w:sz w:val="29"/>
          <w:szCs w:val="29"/>
          <w:u w:val="single" w:color="auto"/>
          <w:color w:val="0000EE"/>
          <w:vertAlign w:val="superscript"/>
        </w:rPr>
        <w:t>4</w:t>
      </w:r>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Fourth Amended and Restated 2013 Equity Incentive Plan</w:t>
        </w:r>
        <w:r>
          <w:rPr>
            <w:rFonts w:ascii="Arial" w:cs="Arial" w:eastAsia="Arial" w:hAnsi="Arial"/>
            <w:sz w:val="29"/>
            <w:szCs w:val="29"/>
            <w:u w:val="single" w:color="auto"/>
            <w:color w:val="0000EE"/>
            <w:vertAlign w:val="superscript"/>
          </w:rPr>
          <w:t>5</w:t>
        </w:r>
      </w:hyperlink>
    </w:p>
    <w:p>
      <w:pPr>
        <w:spacing w:after="0" w:line="186" w:lineRule="auto"/>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Amendment to Employment Agreement with Terry Hamilton, dated February 7, 2019</w:t>
        </w:r>
        <w:r>
          <w:rPr>
            <w:rFonts w:ascii="Arial" w:cs="Arial" w:eastAsia="Arial" w:hAnsi="Arial"/>
            <w:sz w:val="29"/>
            <w:szCs w:val="29"/>
            <w:u w:val="single" w:color="auto"/>
            <w:color w:val="0000EE"/>
            <w:vertAlign w:val="superscript"/>
          </w:rPr>
          <w:t>6</w:t>
        </w:r>
      </w:hyperlink>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Amendment to Employment Agreement with Doug Baker, dated March 10, 2020**</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Amendment to Employment Agreement with William Febbo, dated March, 10, 2020**</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Amendment to Employment Agreement with Stephen Silvestro, dated March, 10, 2020**</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Amendment to Employment Agreement with Miriam Paramore, dated March, 10, 2020**</w:t>
        </w:r>
      </w:hyperlink>
    </w:p>
    <w:p>
      <w:pPr>
        <w:spacing w:after="0" w:line="192" w:lineRule="auto"/>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Code of Business Conduct and Ethics</w:t>
        </w:r>
        <w:r>
          <w:rPr>
            <w:rFonts w:ascii="Arial" w:cs="Arial" w:eastAsia="Arial" w:hAnsi="Arial"/>
            <w:sz w:val="29"/>
            <w:szCs w:val="29"/>
            <w:u w:val="single" w:color="auto"/>
            <w:color w:val="0000EE"/>
            <w:vertAlign w:val="superscript"/>
          </w:rPr>
          <w:t>7</w:t>
        </w:r>
      </w:hyperlink>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List of Subsidiaries</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Consent of Marcum LLP**</w:t>
        </w:r>
      </w:hyperlink>
    </w:p>
    <w:p>
      <w:pPr>
        <w:spacing w:after="0" w:line="9"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Certification of Chief Executive Officer pursuant to Securities Exchange Act Rule 13a-14(a)/15d-14(a), as adopted pursuant to Section 302</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of 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Certification of Chief Financial Officer pursuant to Securities Exchange Act Rule 13a-14(a)/15d-14(a), as adopted pursuant to Section 302 of</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Certification of Chief Executive Officer and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80">
        <w:r>
          <w:rPr>
            <w:rFonts w:ascii="Arial" w:cs="Arial" w:eastAsia="Arial" w:hAnsi="Arial"/>
            <w:sz w:val="18"/>
            <w:szCs w:val="18"/>
            <w:u w:val="single" w:color="auto"/>
            <w:color w:val="0000EE"/>
          </w:rPr>
          <w:t>of the Sarbanes-Oxley Act of 2002</w:t>
        </w:r>
      </w:hyperlink>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2019 formatted in Extensible Business Reporting Language (XBRL).</w:t>
      </w:r>
    </w:p>
    <w:p>
      <w:pPr>
        <w:spacing w:after="0" w:line="105" w:lineRule="exact"/>
        <w:rPr>
          <w:sz w:val="20"/>
          <w:szCs w:val="20"/>
          <w:color w:val="auto"/>
        </w:rPr>
      </w:pPr>
    </w:p>
    <w:p>
      <w:pPr>
        <w:sectPr>
          <w:pgSz w:w="11900" w:h="16838" w:orient="portrait"/>
          <w:cols w:equalWidth="0" w:num="2">
            <w:col w:w="640" w:space="380"/>
            <w:col w:w="10200"/>
          </w:cols>
          <w:pgMar w:left="320" w:top="904" w:right="359" w:bottom="1440" w:gutter="0" w:footer="0" w:header="0"/>
          <w:type w:val="continuous"/>
        </w:sectPr>
      </w:pPr>
    </w:p>
    <w:p>
      <w:pPr>
        <w:ind w:left="340" w:hanging="332"/>
        <w:spacing w:after="0"/>
        <w:tabs>
          <w:tab w:leader="none" w:pos="340" w:val="left"/>
        </w:tabs>
        <w:numPr>
          <w:ilvl w:val="0"/>
          <w:numId w:val="31"/>
        </w:numPr>
        <w:rPr>
          <w:rFonts w:ascii="Arial" w:cs="Arial" w:eastAsia="Arial" w:hAnsi="Arial"/>
          <w:sz w:val="27"/>
          <w:szCs w:val="27"/>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June 11, 2010.</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10-K, filed by the Company with the Securities and Exchange Commission on March 12, 2019,</w:t>
      </w:r>
    </w:p>
    <w:p>
      <w:pPr>
        <w:ind w:left="340" w:hanging="332"/>
        <w:spacing w:after="0" w:line="181"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March 12, 2020.</w:t>
      </w: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Incorporated by reference to the Form 8-K filed by the Company with the Securities and Exchange Commission on February 8, 2019.</w:t>
      </w:r>
    </w:p>
    <w:p>
      <w:pPr>
        <w:spacing w:after="0" w:line="2" w:lineRule="exact"/>
        <w:rPr>
          <w:sz w:val="20"/>
          <w:szCs w:val="20"/>
          <w:color w:val="auto"/>
        </w:rPr>
      </w:pPr>
    </w:p>
    <w:p>
      <w:pPr>
        <w:ind w:right="1360" w:firstLine="8"/>
        <w:spacing w:after="0" w:line="187" w:lineRule="auto"/>
        <w:tabs>
          <w:tab w:leader="none" w:pos="324"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10-K filed by the Company with the Securities and Exchange Commission on March 8, 2018. ** provided herewith</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26,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J. Febbo</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James Lang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Gus D. Halas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Gus D. Halas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Spangler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Patrick Spangler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Lynn Vos</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26,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 Addendum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agreement dated February 17, 2019</w:t>
      </w:r>
    </w:p>
    <w:p>
      <w:pPr>
        <w:spacing w:after="0" w:line="213"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This first addendum to the employment agreement (the “Addendum”) is made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2020, by and between OptimizeRx, Corporation (the “Company”), a Nevada Company, and Douglas Baker (the “Executive”).</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will receive a base salary at the annualized rate of $260,000.00 (“Base Salary”), which will be paid in accordance with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payroll practices and subject to the usual and applicable required withholding(s).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Douglas Baker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 Febbo</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P. Baker</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800" w:type="dxa"/>
            <w:vAlign w:val="bottom"/>
          </w:tcPr>
          <w:p>
            <w:pPr>
              <w:ind w:left="2240"/>
              <w:spacing w:after="0" w:line="203" w:lineRule="exact"/>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ectPr>
          <w:pgSz w:w="11900" w:h="16838" w:orient="portrait"/>
          <w:cols w:equalWidth="0" w:num="1">
            <w:col w:w="11240"/>
          </w:cols>
          <w:pgMar w:left="320" w:top="11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 Addendum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agreement dated September 10, 2018</w:t>
      </w:r>
    </w:p>
    <w:p>
      <w:pPr>
        <w:spacing w:after="0" w:line="21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This first addendum to the employment agreement (the “Addendum”) is made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2020, by and between OptimizeRx, Corporation (the “Company”), a Nevada Company, and William Febbo (the “Executive”).</w:t>
      </w:r>
    </w:p>
    <w:p>
      <w:pPr>
        <w:spacing w:after="0" w:line="199"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receive a base salary at the annualized rate of $350,000.00 (“Base Salary”), for 2020 and $400,000.00 for 2021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year, which will be paid in accordance with normal Company payroll practices and subject to the usual and applicable required withholding(s).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2020 &amp; January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William Febbo</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Douglas P. Baker</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Febbo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ind w:left="224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ectPr>
          <w:pgSz w:w="11900" w:h="16838" w:orient="portrait"/>
          <w:cols w:equalWidth="0" w:num="1">
            <w:col w:w="11240"/>
          </w:cols>
          <w:pgMar w:left="320" w:top="11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10.5</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 Addendum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agreement dated March 18, 2019</w:t>
      </w:r>
    </w:p>
    <w:p>
      <w:pPr>
        <w:spacing w:after="0" w:line="21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This first addendum to the employment agreement (the “Addendum”) is made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2020, by and between OptimizeRx, Corporation (the “Company”), a Nevada Company, and Stephen Silvestro (the “Executive”).</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will receive a base salary at the annualized rate of $300,000.00 (“Base Salary”), which will be paid in accordance with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payroll practices and subject to the usual and applicable required withholding(s).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will be eligible to participate in the Company’s Executive Bonus Plan, subject to terms and conditions, with an annual target bonus</w:t>
      </w:r>
      <w:r>
        <w:rPr>
          <w:rFonts w:ascii="Arial" w:cs="Arial" w:eastAsia="Arial" w:hAnsi="Arial"/>
          <w:sz w:val="18"/>
          <w:szCs w:val="18"/>
          <w:b w:val="1"/>
          <w:bCs w:val="1"/>
          <w:color w:val="auto"/>
        </w:rPr>
        <w:t xml:space="preserve"> </w:t>
      </w:r>
      <w:r>
        <w:rPr>
          <w:rFonts w:ascii="Arial" w:cs="Arial" w:eastAsia="Arial" w:hAnsi="Arial"/>
          <w:sz w:val="18"/>
          <w:szCs w:val="18"/>
          <w:color w:val="auto"/>
        </w:rPr>
        <w:t>of 50% of base salary.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Stephen Silvestro</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Febbo</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Silvestro</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800" w:type="dxa"/>
            <w:vAlign w:val="bottom"/>
          </w:tcPr>
          <w:p>
            <w:pPr>
              <w:ind w:left="224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ectPr>
          <w:pgSz w:w="11900" w:h="16838" w:orient="portrait"/>
          <w:cols w:equalWidth="0" w:num="1">
            <w:col w:w="11240"/>
          </w:cols>
          <w:pgMar w:left="320" w:top="112"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 Addendum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to agreement dated September 10, 2018</w:t>
      </w:r>
    </w:p>
    <w:p>
      <w:pPr>
        <w:spacing w:after="0" w:line="214"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This first addendum to the employment agreement (the “Addendum”) is made this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2020, by and between OptimizeRx, Corporation (the “Company”), a Nevada Company, and Miriam Paramore (the “Executive”).</w:t>
      </w:r>
    </w:p>
    <w:p>
      <w:pPr>
        <w:spacing w:after="0" w:line="19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will receive a base salary at the annualized rate of $275,000.00 (“Base Salary”), which will be paid in accordance with normal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payroll practices and subject to the usual and applicable required withholding(s).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January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set forth herein, all other terms of the Agreement remain in full force and effect.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OptimizeRx, Corporation</w:t>
            </w:r>
          </w:p>
        </w:tc>
        <w:tc>
          <w:tcPr>
            <w:tcW w:w="6720" w:type="dxa"/>
            <w:vAlign w:val="bottom"/>
            <w:gridSpan w:val="2"/>
          </w:tcPr>
          <w:p>
            <w:pPr>
              <w:ind w:left="2240"/>
              <w:spacing w:after="0"/>
              <w:rPr>
                <w:sz w:val="20"/>
                <w:szCs w:val="20"/>
                <w:color w:val="auto"/>
              </w:rPr>
            </w:pPr>
            <w:r>
              <w:rPr>
                <w:rFonts w:ascii="Arial" w:cs="Arial" w:eastAsia="Arial" w:hAnsi="Arial"/>
                <w:sz w:val="18"/>
                <w:szCs w:val="18"/>
                <w:b w:val="1"/>
                <w:bCs w:val="1"/>
                <w:color w:val="auto"/>
              </w:rPr>
              <w:t>Miriam Paramore</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Febbo</w:t>
            </w:r>
          </w:p>
        </w:tc>
        <w:tc>
          <w:tcPr>
            <w:tcW w:w="2800" w:type="dxa"/>
            <w:vAlign w:val="bottom"/>
          </w:tcPr>
          <w:p>
            <w:pPr>
              <w:ind w:left="22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Miriam Paramore</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800" w:type="dxa"/>
            <w:vAlign w:val="bottom"/>
          </w:tcPr>
          <w:p>
            <w:pPr>
              <w:ind w:left="2240"/>
              <w:spacing w:after="0"/>
              <w:rPr>
                <w:sz w:val="20"/>
                <w:szCs w:val="20"/>
                <w:color w:val="auto"/>
              </w:rPr>
            </w:pPr>
            <w:r>
              <w:rPr>
                <w:rFonts w:ascii="Arial" w:cs="Arial" w:eastAsia="Arial" w:hAnsi="Arial"/>
                <w:sz w:val="18"/>
                <w:szCs w:val="18"/>
                <w:color w:val="auto"/>
              </w:rPr>
              <w:t>Date:</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10, 2020</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ectPr>
          <w:pgSz w:w="11900" w:h="16838" w:orient="portrait"/>
          <w:cols w:equalWidth="0" w:num="1">
            <w:col w:w="11240"/>
          </w:cols>
          <w:pgMar w:left="320" w:top="11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21.1</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 of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Michigan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Inc., a New Jersey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CareSpeak Communications D.O.O., a controlled foreign corporation located in Croatia.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RMDY Health, Inc., A Delaware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Cyberdiet, a controlled foreign corporation located 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left="10120"/>
        <w:spacing w:after="0"/>
        <w:rPr>
          <w:sz w:val="20"/>
          <w:szCs w:val="20"/>
          <w:color w:val="auto"/>
        </w:rPr>
      </w:pPr>
      <w:r>
        <w:rPr>
          <w:rFonts w:ascii="Arial" w:cs="Arial" w:eastAsia="Arial" w:hAnsi="Arial"/>
          <w:sz w:val="19"/>
          <w:szCs w:val="19"/>
          <w:b w:val="1"/>
          <w:bCs w:val="1"/>
          <w:color w:val="auto"/>
        </w:rPr>
        <w:t>Exhibit 23.1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of OptimizeRx Corporation on Form S-3 (File No. 333-228357) and Form S-8 (File Nos. 333-230212; 333-210653; and 333-189439) of our report dated March 26, 2020, with respect to our audit of the consolidated financial statements of OptimizeRx Corporation and Subsidiaries as of December 31, 2019 and for the year then ended and our report dated March 26, 2020 with respect to our audit of the effectiveness of internal control over financial reporting of OptimizeRx Corporation as of December 31, 2019, which reports are included in this Annual Report on Form 10-K of OptimizeRx Corporation for the year ended December 31, 2019.</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report on the consolidated financial statements refers to a change in the Company’s method of accounting for leases in 2019 due to the adoption of ASU No. 2016-02, Leases (Topic 842), as amended, effective January 1, 2019,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report on the effectiveness of internal control over financial reporting expressed an adverse opinion because of the existence of material weaknesses.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ectPr>
          <w:pgSz w:w="11900" w:h="16838" w:orient="portrait"/>
          <w:cols w:equalWidth="0" w:num="1">
            <w:col w:w="11240"/>
          </w:cols>
          <w:pgMar w:left="320" w:top="11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OptimizeRx Corp (the “registrant”);</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82"/>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2"/>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82"/>
        <w:spacing w:after="0" w:line="34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2"/>
        <w:spacing w:after="0" w:line="263"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82"/>
        <w:spacing w:after="0" w:line="342" w:lineRule="auto"/>
        <w:tabs>
          <w:tab w:leader="none" w:pos="10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2"/>
        <w:spacing w:after="0" w:line="277" w:lineRule="auto"/>
        <w:tabs>
          <w:tab w:leader="none" w:pos="10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OptimizeRx Corp (the “registrant”);</w:t>
      </w:r>
    </w:p>
    <w:p>
      <w:pPr>
        <w:spacing w:after="0" w:line="225" w:lineRule="exact"/>
        <w:rPr>
          <w:rFonts w:ascii="Arial" w:cs="Arial" w:eastAsia="Arial" w:hAnsi="Arial"/>
          <w:sz w:val="18"/>
          <w:szCs w:val="18"/>
          <w:color w:val="auto"/>
        </w:rPr>
      </w:pPr>
    </w:p>
    <w:p>
      <w:pPr>
        <w:jc w:val="both"/>
        <w:ind w:left="380" w:right="400" w:hanging="372"/>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360" w:hanging="372"/>
        <w:spacing w:after="0" w:line="308"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400" w:hanging="372"/>
        <w:spacing w:after="0" w:line="263"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82"/>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2"/>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82"/>
        <w:spacing w:after="0" w:line="342" w:lineRule="auto"/>
        <w:tabs>
          <w:tab w:leader="none" w:pos="10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2"/>
        <w:spacing w:after="0" w:line="263"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80" w:right="280" w:hanging="372"/>
        <w:spacing w:after="0" w:line="308"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82"/>
        <w:spacing w:after="0" w:line="342" w:lineRule="auto"/>
        <w:tabs>
          <w:tab w:leader="none" w:pos="10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2"/>
        <w:spacing w:after="0" w:line="277" w:lineRule="auto"/>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OptimizeRx Corp (the “Company”) on Form 10-K for the year ended December 31, 2019 filed with the Securities and Exchange Commission (the “Report”), I, William J. Febbo, Chief Executive Officer of the Company, and I, Douglas P. Baker,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William J. Febbo</w:t>
            </w:r>
          </w:p>
        </w:tc>
        <w:tc>
          <w:tcPr>
            <w:tcW w:w="4680" w:type="dxa"/>
            <w:vAlign w:val="bottom"/>
          </w:tcPr>
          <w:p>
            <w:pPr>
              <w:spacing w:after="0"/>
              <w:rPr>
                <w:sz w:val="17"/>
                <w:szCs w:val="17"/>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William J. Febbo</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26, 2020</w:t>
            </w:r>
          </w:p>
        </w:tc>
      </w:tr>
      <w:tr>
        <w:trPr>
          <w:trHeight w:val="39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Doug Baker</w:t>
            </w:r>
          </w:p>
        </w:tc>
        <w:tc>
          <w:tcPr>
            <w:tcW w:w="5040" w:type="dxa"/>
            <w:vAlign w:val="bottom"/>
            <w:gridSpan w:val="2"/>
          </w:tcPr>
          <w:p>
            <w:pPr>
              <w:spacing w:after="0"/>
              <w:rPr>
                <w:sz w:val="24"/>
                <w:szCs w:val="24"/>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6140" w:type="dxa"/>
            <w:vAlign w:val="bottom"/>
            <w:gridSpan w:val="3"/>
          </w:tcPr>
          <w:p>
            <w:pPr>
              <w:spacing w:after="0"/>
              <w:rPr>
                <w:sz w:val="20"/>
                <w:szCs w:val="20"/>
                <w:color w:val="auto"/>
              </w:rPr>
            </w:pPr>
            <w:r>
              <w:rPr>
                <w:rFonts w:ascii="Arial" w:cs="Arial" w:eastAsia="Arial" w:hAnsi="Arial"/>
                <w:sz w:val="18"/>
                <w:szCs w:val="18"/>
                <w:color w:val="auto"/>
              </w:rPr>
              <w:t>Doug Baker</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6140" w:type="dxa"/>
            <w:vAlign w:val="bottom"/>
            <w:gridSpan w:val="3"/>
          </w:tcPr>
          <w:p>
            <w:pPr>
              <w:spacing w:after="0"/>
              <w:rPr>
                <w:sz w:val="20"/>
                <w:szCs w:val="20"/>
                <w:color w:val="auto"/>
              </w:rPr>
            </w:pPr>
            <w:r>
              <w:rPr>
                <w:rFonts w:ascii="Arial" w:cs="Arial" w:eastAsia="Arial" w:hAnsi="Arial"/>
                <w:sz w:val="18"/>
                <w:szCs w:val="18"/>
                <w:color w:val="auto"/>
                <w:w w:val="93"/>
              </w:rPr>
              <w:t>Chief Financial Officer, Principal Financial Officer and Principal Accounting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6140" w:type="dxa"/>
            <w:vAlign w:val="bottom"/>
            <w:gridSpan w:val="3"/>
          </w:tcPr>
          <w:p>
            <w:pPr>
              <w:spacing w:after="0"/>
              <w:rPr>
                <w:sz w:val="20"/>
                <w:szCs w:val="20"/>
                <w:color w:val="auto"/>
              </w:rPr>
            </w:pPr>
            <w:r>
              <w:rPr>
                <w:rFonts w:ascii="Arial" w:cs="Arial" w:eastAsia="Arial" w:hAnsi="Arial"/>
                <w:sz w:val="18"/>
                <w:szCs w:val="18"/>
                <w:color w:val="auto"/>
              </w:rPr>
              <w:t>March 26, 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lvl w:ilvl="1">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lowerRoman"/>
      <w:start w:val="2"/>
    </w:lvl>
  </w:abstractNum>
  <w:abstractNum w:abstractNumId="20">
    <w:nsid w:val="1E7FF521"/>
    <w:multiLevelType w:val="hybridMultilevel"/>
    <w:lvl w:ilvl="0">
      <w:lvlJc w:val="left"/>
      <w:lvlText w:val="%1."/>
      <w:numFmt w:val="decimal"/>
      <w:start w:val="4"/>
    </w:lvl>
  </w:abstractNum>
  <w:abstractNum w:abstractNumId="21">
    <w:nsid w:val="7C3DBD3D"/>
    <w:multiLevelType w:val="hybridMultilevel"/>
    <w:lvl w:ilvl="0">
      <w:lvlJc w:val="left"/>
      <w:lvlText w:val="%1."/>
      <w:numFmt w:val="lowerRoman"/>
      <w:start w:val="2"/>
    </w:lvl>
  </w:abstractNum>
  <w:abstractNum w:abstractNumId="22">
    <w:nsid w:val="737B8DDC"/>
    <w:multiLevelType w:val="hybridMultilevel"/>
    <w:lvl w:ilvl="0">
      <w:lvlJc w:val="left"/>
      <w:lvlText w:val="%1."/>
      <w:numFmt w:val="decimal"/>
      <w:start w:val="8"/>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bullet"/>
      <w:start w:val="1"/>
    </w:lvl>
  </w:abstractNum>
  <w:abstractNum w:abstractNumId="31">
    <w:nsid w:val="5072367"/>
    <w:multiLevelType w:val="hybridMultilevel"/>
    <w:lvl w:ilvl="0">
      <w:lvlJc w:val="left"/>
      <w:lvlText w:val="2"/>
      <w:numFmt w:val="bullet"/>
      <w:start w:val="1"/>
    </w:lvl>
  </w:abstractNum>
  <w:abstractNum w:abstractNumId="32">
    <w:nsid w:val="3804823E"/>
    <w:multiLevelType w:val="hybridMultilevel"/>
    <w:lvl w:ilvl="0">
      <w:lvlJc w:val="left"/>
      <w:lvlText w:val="3"/>
      <w:numFmt w:val="bullet"/>
      <w:start w:val="1"/>
    </w:lvl>
  </w:abstractNum>
  <w:abstractNum w:abstractNumId="33">
    <w:nsid w:val="77465F01"/>
    <w:multiLevelType w:val="hybridMultilevel"/>
    <w:lvl w:ilvl="0">
      <w:lvlJc w:val="left"/>
      <w:lvlText w:val="4"/>
      <w:numFmt w:val="bullet"/>
      <w:start w:val="1"/>
    </w:lvl>
  </w:abstractNum>
  <w:abstractNum w:abstractNumId="34">
    <w:nsid w:val="7724C67E"/>
    <w:multiLevelType w:val="hybridMultilevel"/>
    <w:lvl w:ilvl="0">
      <w:lvlJc w:val="left"/>
      <w:lvlText w:val="5"/>
      <w:numFmt w:val="bullet"/>
      <w:start w:val="1"/>
    </w:lvl>
  </w:abstractNum>
  <w:abstractNum w:abstractNumId="35">
    <w:nsid w:val="5C482A97"/>
    <w:multiLevelType w:val="hybridMultilevel"/>
    <w:lvl w:ilvl="0">
      <w:lvlJc w:val="left"/>
      <w:lvlText w:val="6"/>
      <w:numFmt w:val="bullet"/>
      <w:start w:val="1"/>
    </w:lvl>
  </w:abstractNum>
  <w:abstractNum w:abstractNumId="36">
    <w:nsid w:val="2463B9EA"/>
    <w:multiLevelType w:val="hybridMultilevel"/>
    <w:lvl w:ilvl="0">
      <w:lvlJc w:val="left"/>
      <w:lvlText w:val="7"/>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16" Type="http://schemas.openxmlformats.org/officeDocument/2006/relationships/hyperlink" Target="http://www.sec.gov/Archives/edgar/data/1448431/000136110608000414/optimizerx_s1-ex0301.htm" TargetMode="External"/><Relationship Id="rId117" Type="http://schemas.openxmlformats.org/officeDocument/2006/relationships/hyperlink" Target="http://www.sec.gov/Archives/edgar/data/1448431/000125529410000605/ex3_1.htm" TargetMode="External"/><Relationship Id="rId118" Type="http://schemas.openxmlformats.org/officeDocument/2006/relationships/hyperlink" Target="http://www.sec.gov/Archives/edgar/data/1448431/000136110608000414/optimizerx_s1-ex0401.htm" TargetMode="External"/><Relationship Id="rId119" Type="http://schemas.openxmlformats.org/officeDocument/2006/relationships/hyperlink" Target="http://www.sec.gov/Archives/edgar/data/1448431/000125529410000492/ex4_1.htm" TargetMode="External"/><Relationship Id="rId120" Type="http://schemas.openxmlformats.org/officeDocument/2006/relationships/hyperlink" Target="http://www.sec.gov/Archives/edgar/data/1448431/000121390019003962/f10k2018ex3-5_optimizerx.htm" TargetMode="External"/><Relationship Id="rId121" Type="http://schemas.openxmlformats.org/officeDocument/2006/relationships/hyperlink" Target="http://www.sec.gov/Archives/edgar/data/1448431/000121390019003962/f10k2018ex3-6_optimizerx.htm" TargetMode="External"/><Relationship Id="rId122" Type="http://schemas.openxmlformats.org/officeDocument/2006/relationships/hyperlink" Target="http://www.sec.gov/Archives/edgar/data/1448431/000121390020006161/ea119535ex10-1_optimize.htm" TargetMode="External"/><Relationship Id="rId123" Type="http://schemas.openxmlformats.org/officeDocument/2006/relationships/hyperlink" Target="http://www.sec.gov/Archives/edgar/data/1448431/000121390019001955/f8k020719ex10-1_optimizerx.htm" TargetMode="External"/><Relationship Id="rId124" Type="http://schemas.openxmlformats.org/officeDocument/2006/relationships/hyperlink" Target="http://www.sec.gov/Archives/edgar/data/1448431/000121390018002722/f10k2017ex14-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2020-03-26T15:06:21Z</dcterms:created>
  <dcterms:modified xsi:type="dcterms:W3CDTF">2020-03-26T15:06:21Z</dcterms:modified>
</cp:coreProperties>
</file>