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5, 2018</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5"/>
          <w:szCs w:val="25"/>
          <w:u w:val="single" w:color="auto"/>
          <w:color w:val="auto"/>
        </w:rPr>
        <w:t>OptimizeRx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001-38543</w:t>
            </w:r>
          </w:p>
        </w:tc>
        <w:tc>
          <w:tcPr>
            <w:tcW w:w="220" w:type="dxa"/>
            <w:vAlign w:val="bottom"/>
          </w:tcPr>
          <w:p>
            <w:pPr>
              <w:spacing w:after="0"/>
              <w:rPr>
                <w:sz w:val="21"/>
                <w:szCs w:val="21"/>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ind w:left="118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289560</wp:posOffset>
            </wp:positionV>
            <wp:extent cx="39878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8780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5, 2018, we issued a press release announcing the results of operations for the quarter ended September 30, 2018. The press release is furnished with this Current Report on Form 8-K as Exhibit 99.1.</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5, 2018</w:t>
        </w:r>
      </w:hyperlink>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86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154940</wp:posOffset>
            </wp:positionV>
            <wp:extent cx="215265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Reports Third Quarter 2018 Results; Net Revenue Up 75% to a Record $5.4 Million, Driving $0.02 EPS</w:t>
      </w:r>
    </w:p>
    <w:p>
      <w:pPr>
        <w:spacing w:after="0" w:line="225"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ROCHESTER, Mich., (November 5, 2018) — </w:t>
      </w:r>
      <w:r>
        <w:rPr>
          <w:rFonts w:ascii="Arial" w:cs="Arial" w:eastAsia="Arial" w:hAnsi="Arial"/>
          <w:sz w:val="17"/>
          <w:szCs w:val="17"/>
          <w:u w:val="single" w:color="auto"/>
          <w:color w:val="auto"/>
        </w:rPr>
        <w:t>OptimizeRx Corp.</w:t>
      </w:r>
      <w:r>
        <w:rPr>
          <w:rFonts w:ascii="Arial" w:cs="Arial" w:eastAsia="Arial" w:hAnsi="Arial"/>
          <w:sz w:val="17"/>
          <w:szCs w:val="17"/>
          <w:b w:val="1"/>
          <w:bCs w:val="1"/>
          <w:color w:val="auto"/>
        </w:rPr>
        <w:t xml:space="preserve"> </w:t>
      </w:r>
      <w:r>
        <w:rPr>
          <w:rFonts w:ascii="Arial" w:cs="Arial" w:eastAsia="Arial" w:hAnsi="Arial"/>
          <w:sz w:val="17"/>
          <w:szCs w:val="17"/>
          <w:color w:val="auto"/>
        </w:rPr>
        <w:t>(NASDAQ: OPRX), a leading provider of digital health messaging for the pharmaceutical</w:t>
      </w:r>
      <w:r>
        <w:rPr>
          <w:rFonts w:ascii="Arial" w:cs="Arial" w:eastAsia="Arial" w:hAnsi="Arial"/>
          <w:sz w:val="17"/>
          <w:szCs w:val="17"/>
          <w:b w:val="1"/>
          <w:bCs w:val="1"/>
          <w:color w:val="auto"/>
        </w:rPr>
        <w:t xml:space="preserve"> </w:t>
      </w:r>
      <w:r>
        <w:rPr>
          <w:rFonts w:ascii="Arial" w:cs="Arial" w:eastAsia="Arial" w:hAnsi="Arial"/>
          <w:sz w:val="17"/>
          <w:szCs w:val="17"/>
          <w:color w:val="auto"/>
        </w:rPr>
        <w:t>industry, reported results for the third quarter ended September 30, 2018. Quarterly comparisons are to the same year-ago quarter.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left="340" w:hanging="251"/>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 increased 75% to a record $5.4 million.</w:t>
      </w:r>
    </w:p>
    <w:p>
      <w:pPr>
        <w:spacing w:after="0" w:line="225" w:lineRule="exact"/>
        <w:rPr>
          <w:rFonts w:ascii="Arial" w:cs="Arial" w:eastAsia="Arial" w:hAnsi="Arial"/>
          <w:sz w:val="18"/>
          <w:szCs w:val="18"/>
          <w:color w:val="auto"/>
        </w:rPr>
      </w:pPr>
    </w:p>
    <w:p>
      <w:pPr>
        <w:ind w:left="340" w:hanging="251"/>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improved from 58.1% to 45.1%.</w:t>
      </w:r>
    </w:p>
    <w:p>
      <w:pPr>
        <w:spacing w:after="0" w:line="225" w:lineRule="exact"/>
        <w:rPr>
          <w:rFonts w:ascii="Arial" w:cs="Arial" w:eastAsia="Arial" w:hAnsi="Arial"/>
          <w:sz w:val="18"/>
          <w:szCs w:val="18"/>
          <w:color w:val="auto"/>
        </w:rPr>
      </w:pPr>
    </w:p>
    <w:p>
      <w:pPr>
        <w:ind w:left="340" w:hanging="251"/>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 as a percentage of net revenue reduced from 55% to 42%.</w:t>
      </w:r>
    </w:p>
    <w:p>
      <w:pPr>
        <w:spacing w:after="0" w:line="225" w:lineRule="exact"/>
        <w:rPr>
          <w:rFonts w:ascii="Arial" w:cs="Arial" w:eastAsia="Arial" w:hAnsi="Arial"/>
          <w:sz w:val="18"/>
          <w:szCs w:val="18"/>
          <w:color w:val="auto"/>
        </w:rPr>
      </w:pPr>
    </w:p>
    <w:p>
      <w:pPr>
        <w:ind w:left="340" w:hanging="251"/>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of $245,000 or $0.02 per diluted share vs. a loss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229" w:lineRule="exact"/>
        <w:rPr>
          <w:sz w:val="20"/>
          <w:szCs w:val="20"/>
          <w:color w:val="auto"/>
        </w:rPr>
      </w:pPr>
    </w:p>
    <w:p>
      <w:pPr>
        <w:ind w:left="340" w:right="340" w:hanging="251"/>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Acquired CareSpeak Communications, a leader in interactive health messaging for improved medication adherence and care coordination, expanding OptimizeRx’s reach to communicate directly to patients, resulting in greater medication adherence, persistence and affordability.</w:t>
      </w:r>
    </w:p>
    <w:p>
      <w:pPr>
        <w:spacing w:after="0" w:line="146" w:lineRule="exact"/>
        <w:rPr>
          <w:rFonts w:ascii="Arial" w:cs="Arial" w:eastAsia="Arial" w:hAnsi="Arial"/>
          <w:sz w:val="17"/>
          <w:szCs w:val="17"/>
          <w:color w:val="auto"/>
        </w:rPr>
      </w:pPr>
    </w:p>
    <w:p>
      <w:pPr>
        <w:ind w:left="340" w:right="700" w:hanging="251"/>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Partnered with Medicom Health, a software company that creates evidence-based health and wellness applications for enriched online consumer engagement at more than 600 hospitals nationwide.</w:t>
      </w:r>
    </w:p>
    <w:p>
      <w:pPr>
        <w:spacing w:after="0" w:line="170" w:lineRule="exact"/>
        <w:rPr>
          <w:rFonts w:ascii="Arial" w:cs="Arial" w:eastAsia="Arial" w:hAnsi="Arial"/>
          <w:sz w:val="18"/>
          <w:szCs w:val="18"/>
          <w:color w:val="auto"/>
        </w:rPr>
      </w:pPr>
    </w:p>
    <w:p>
      <w:pPr>
        <w:ind w:left="340" w:hanging="251"/>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Launched a 2:1 return-on-investment (ROI) guarantee to pharmaceutical manufacturers who invest in the company’s financial messaging solutions.</w:t>
      </w:r>
    </w:p>
    <w:p>
      <w:pPr>
        <w:spacing w:after="0" w:line="236" w:lineRule="exact"/>
        <w:rPr>
          <w:rFonts w:ascii="Arial" w:cs="Arial" w:eastAsia="Arial" w:hAnsi="Arial"/>
          <w:sz w:val="17"/>
          <w:szCs w:val="17"/>
          <w:color w:val="auto"/>
        </w:rPr>
      </w:pPr>
    </w:p>
    <w:p>
      <w:pPr>
        <w:ind w:left="340" w:right="360" w:hanging="251"/>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Signed new pharmaceutical manufacturer brands for distributing digital health messaging through OptimizeRx’s expanding network of EHR channel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Net revenue in the third quarter of 2018 increased 75% to a record $5.4 million versus $3.1 million in the same year-ago quarter. The increase was primarily due to growth in OptimizeRx’s two core products of financial and brand messaging, coupled with broader distribution through the company’s new channel partners. The launch of new pharmaceutical brands also contributed to the increase.</w:t>
      </w:r>
    </w:p>
    <w:p>
      <w:pPr>
        <w:spacing w:after="0" w:line="1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Gross margin improved to 58.1% in the third quarter of 2018 from 45.1% in the year-ago quarter. The improvement was due to favorable product mix and reduced revenue share cost.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remains focused on improving margins, and maintains its gross margin target of at least 55% through the fourth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80"/>
        <w:spacing w:after="0" w:line="264" w:lineRule="auto"/>
        <w:rPr>
          <w:sz w:val="20"/>
          <w:szCs w:val="20"/>
          <w:color w:val="auto"/>
        </w:rPr>
      </w:pPr>
      <w:r>
        <w:rPr>
          <w:rFonts w:ascii="Arial" w:cs="Arial" w:eastAsia="Arial" w:hAnsi="Arial"/>
          <w:sz w:val="18"/>
          <w:szCs w:val="18"/>
          <w:color w:val="auto"/>
        </w:rPr>
        <w:t>Operating expenses in the third quarter of 2018 were $2.9 million, up from $2.0 million in the same year-ago quarter. The increase was primarily due to additional expenses related to growth initiatives, including expanding the company’s team. However, operating expense as a percentage of revenue decreased to 54% as compared to 65% in the same year-ago quarter.</w:t>
      </w:r>
    </w:p>
    <w:p>
      <w:pPr>
        <w:spacing w:after="0" w:line="18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Net income for the third quarter of 2018 was $245,000 or $0.02 per share, as compared to a net loss of $623,000 or $(0.06) per share in the year-ago quarter. Profitability was primarily due to the increase in revenue and decrease in operating expense as a percentage of revenue. The company expects to continue to be profitable on a quarterly basis, although one-time expenses related to growth initiatives may result in quarterly fluctuations in profitability.</w:t>
      </w:r>
    </w:p>
    <w:p>
      <w:pPr>
        <w:spacing w:after="0" w:line="14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Cash and cash equivalents totaled $13.5 million at September 30, 2018, as compared to $12.0 million at June 30, 2018. The increase in cash was due to $9.0 million equity raise completed in May 2018. The company has continued to operate debt-free and expects to generate positive cashflow from operations for the remainder of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 Q3, we realized our eighth consecutive quarter of revenue growth and second consecutive quarter of profitability through adding new pharmaceutical brands, growing our digital health messaging revenue and expanding our distribution channels,” said OptimizeRx CEO, William Febbo.</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topline was up 75% from the year-ago quarter and up 6% sequentially, demonstrating how our low fixed-overhead model continues to support a highly-scalable financial opportunity. This was also evident in our expanding margins. In fact, at 58.1% for the quarter, we for the second time in a row surpassed our previously announced gross margin goal of 55%, and we plan to again exceed this goal in the current quarter.</w:t>
      </w:r>
    </w:p>
    <w:p>
      <w:pPr>
        <w:spacing w:after="0" w:line="166"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“Today, our network reaches over half the nation's healthcare providers and the ambulatory market, making OptimizeRx the healthcare industry's largest point-of-care network. Through our digital platform, pharma companies can regain critical access to doctors and their patients and provide the information and savings they need and precisely when they need it, in the point of care, and create better health outcomes, a win-win-win.</w:t>
      </w:r>
    </w:p>
    <w:p>
      <w:pPr>
        <w:spacing w:after="0" w:line="16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“Subsequent to the quarter, our strategic acquisition of CareSpeak Communications allows us to complement and diversify our revenue streams while continuing to scale. There are immense resources being poured into quality improvement and value-based care, all for the simple reason that it improves outcomes and reduces costs for all stakeholders. By adding CareSpeak’s complementary capabilities to our platform, we extend our ability to engage doctors and patients, and improve health. CareSpeak allows us to further bridge the critical communication gaps between pharma, healthcare providers and patients.</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remainder of 2018, we plan to continue expanding our reach to physicians, pharmacies and patients, and bringing new solutions to our existing clients to capture more budget per pharmaceutical manufacturer. As we continue to demonstrate high ROI from the marketing spend of our pharma clients, we expect increased adoption of our digital health platform in cloud-based EHR channels, hospital systems and ultimately by potential clients.”</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Monday, November 5,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1-888-221-3881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1-323-794-2591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1275447</w:t>
      </w:r>
    </w:p>
    <w:p>
      <w:pPr>
        <w:spacing w:after="0" w:line="2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November 26, 2018, as well as available for replay via the Investors section of the OptimizeRx website at www.optimizerx.com.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1275447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OptimizeRx® (NASDAQ: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or visit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September 30,</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r>
      <w:tr>
        <w:trPr>
          <w:trHeight w:val="237"/>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02"/>
        </w:trPr>
        <w:tc>
          <w:tcPr>
            <w:tcW w:w="870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13,523,002</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5,122,573</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3,791,964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2,257,276</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 related party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1,373,054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1,173,614</w:t>
            </w: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201,320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255,428</w:t>
            </w:r>
          </w:p>
        </w:tc>
      </w:tr>
      <w:tr>
        <w:trPr>
          <w:trHeight w:val="236"/>
        </w:trPr>
        <w:tc>
          <w:tcPr>
            <w:tcW w:w="8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18,889,340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8,808,891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7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149,936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167,305</w:t>
            </w:r>
          </w:p>
        </w:tc>
        <w:tc>
          <w:tcPr>
            <w:tcW w:w="100" w:type="dxa"/>
            <w:vAlign w:val="bottom"/>
            <w:tcBorders>
              <w:bottom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587,848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638,766</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Web development and other intangible costs,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128,381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143,730</w:t>
            </w: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Security deposit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5,049</w:t>
            </w:r>
          </w:p>
        </w:tc>
      </w:tr>
      <w:tr>
        <w:trPr>
          <w:trHeight w:val="236"/>
        </w:trPr>
        <w:tc>
          <w:tcPr>
            <w:tcW w:w="8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721,278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7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19,760,554</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9,763,741</w:t>
            </w:r>
          </w:p>
        </w:tc>
      </w:tr>
      <w:tr>
        <w:trPr>
          <w:trHeight w:val="216"/>
        </w:trPr>
        <w:tc>
          <w:tcPr>
            <w:tcW w:w="8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165,458</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457,289</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814,530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953,947</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763,084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1,177,136</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 – related party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447,670</w:t>
            </w: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813,316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507,160</w:t>
            </w:r>
          </w:p>
        </w:tc>
      </w:tr>
      <w:tr>
        <w:trPr>
          <w:trHeight w:val="236"/>
        </w:trPr>
        <w:tc>
          <w:tcPr>
            <w:tcW w:w="8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2,556,388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70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Preferred stock, $0.001 par value, 10,000,000 shares authorized, no issued and outstanding at September 30, 2018 or</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700" w:type="dxa"/>
            <w:vAlign w:val="bottom"/>
          </w:tcPr>
          <w:p>
            <w:pPr>
              <w:ind w:left="180"/>
              <w:spacing w:after="0" w:line="201" w:lineRule="exact"/>
              <w:rPr>
                <w:sz w:val="20"/>
                <w:szCs w:val="20"/>
                <w:color w:val="auto"/>
              </w:rPr>
            </w:pPr>
            <w:r>
              <w:rPr>
                <w:rFonts w:ascii="Arial" w:cs="Arial" w:eastAsia="Arial" w:hAnsi="Arial"/>
                <w:sz w:val="18"/>
                <w:szCs w:val="18"/>
                <w:color w:val="auto"/>
                <w:w w:val="95"/>
              </w:rPr>
              <w:t>Common stock, $0.001 par value, 166,666,667 shares authorized, 11,970,976 and 9,772,694 shares issued and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700" w:type="dxa"/>
            <w:vAlign w:val="bottom"/>
          </w:tcPr>
          <w:p>
            <w:pPr>
              <w:ind w:left="360"/>
              <w:spacing w:after="0"/>
              <w:rPr>
                <w:sz w:val="20"/>
                <w:szCs w:val="20"/>
                <w:color w:val="auto"/>
              </w:rPr>
            </w:pPr>
            <w:r>
              <w:rPr>
                <w:rFonts w:ascii="Arial" w:cs="Arial" w:eastAsia="Arial" w:hAnsi="Arial"/>
                <w:sz w:val="18"/>
                <w:szCs w:val="18"/>
                <w:color w:val="auto"/>
              </w:rPr>
              <w:t>outstanding at Sept 30, 2018 and December 31, 2017, respectively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11,971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9,773</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warrants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1,286,424</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47,361,086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35,287,464</w:t>
            </w:r>
          </w:p>
        </w:tc>
      </w:tr>
      <w:tr>
        <w:trPr>
          <w:trHeight w:val="250"/>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(30,168,891)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(30,363,122)</w:t>
            </w:r>
          </w:p>
        </w:tc>
      </w:tr>
      <w:tr>
        <w:trPr>
          <w:trHeight w:val="210"/>
        </w:trPr>
        <w:tc>
          <w:tcPr>
            <w:tcW w:w="87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17,204,166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6,220,539</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19,760,554</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9,763,741</w:t>
            </w:r>
          </w:p>
        </w:tc>
      </w:tr>
      <w:tr>
        <w:trPr>
          <w:trHeight w:val="21"/>
        </w:trPr>
        <w:tc>
          <w:tcPr>
            <w:tcW w:w="8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jc w:val="right"/>
              <w:ind w:right="360"/>
              <w:spacing w:after="0"/>
              <w:rPr>
                <w:sz w:val="20"/>
                <w:szCs w:val="20"/>
                <w:color w:val="auto"/>
              </w:rPr>
            </w:pPr>
            <w:r>
              <w:rPr>
                <w:rFonts w:ascii="Arial" w:cs="Arial" w:eastAsia="Arial" w:hAnsi="Arial"/>
                <w:sz w:val="18"/>
                <w:szCs w:val="18"/>
                <w:color w:val="auto"/>
                <w:w w:val="92"/>
              </w:rPr>
              <w:t>For the Three Months Ended</w:t>
            </w:r>
          </w:p>
        </w:tc>
        <w:tc>
          <w:tcPr>
            <w:tcW w:w="180" w:type="dxa"/>
            <w:vAlign w:val="bottom"/>
          </w:tcPr>
          <w:p>
            <w:pPr>
              <w:spacing w:after="0"/>
              <w:rPr>
                <w:sz w:val="19"/>
                <w:szCs w:val="19"/>
                <w:color w:val="auto"/>
              </w:rPr>
            </w:pPr>
          </w:p>
        </w:tc>
        <w:tc>
          <w:tcPr>
            <w:tcW w:w="2420" w:type="dxa"/>
            <w:vAlign w:val="bottom"/>
            <w:gridSpan w:val="7"/>
          </w:tcPr>
          <w:p>
            <w:pPr>
              <w:jc w:val="right"/>
              <w:ind w:right="340"/>
              <w:spacing w:after="0"/>
              <w:rPr>
                <w:sz w:val="20"/>
                <w:szCs w:val="20"/>
                <w:color w:val="auto"/>
              </w:rPr>
            </w:pPr>
            <w:r>
              <w:rPr>
                <w:rFonts w:ascii="Arial" w:cs="Arial" w:eastAsia="Arial" w:hAnsi="Arial"/>
                <w:sz w:val="18"/>
                <w:szCs w:val="18"/>
                <w:color w:val="auto"/>
                <w:w w:val="93"/>
              </w:rPr>
              <w:t>For the 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7"/>
          </w:tcPr>
          <w:p>
            <w:pPr>
              <w:jc w:val="right"/>
              <w:ind w:right="86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w w:val="84"/>
              </w:rPr>
              <w:t>2017</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3,990,486</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2,076,736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9,951,743</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5,729,275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Revenue – Related Party</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1,424,898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1,025,871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4,675,351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2,391,227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5,415,384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3,102,607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14,627,094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8,120,502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REVENUE SHARE EXPENSE</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2,268,968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1,703,676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6,513,810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4,690,943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3,146,416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1,398,931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8,113,284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3,429,559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2,923,238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2,028,589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7,807,705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5,320,220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FROM OPERATIONS</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(629,658</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(1,890,661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21,750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6,872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30,679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23,691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INCOME (EXPENSE)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244,928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(622,786)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336,258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(1,866,970)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INCOME (LOSS)</w:t>
            </w: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244,928</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(622,786</w:t>
            </w:r>
          </w:p>
        </w:tc>
        <w:tc>
          <w:tcPr>
            <w:tcW w:w="20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336,258</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(1,866,970</w:t>
            </w:r>
          </w:p>
        </w:tc>
        <w:tc>
          <w:tcPr>
            <w:tcW w:w="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11,755,500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9,752,122</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10,840,584</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9,839,325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00" w:type="dxa"/>
            <w:vAlign w:val="bottom"/>
            <w:tcBorders>
              <w:bottom w:val="single" w:sz="8" w:color="CCEEFF"/>
            </w:tcBorders>
            <w:vMerge w:val="continue"/>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12,921,768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9,752,122</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11,766,754</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9,839,325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7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6"/>
                <w:szCs w:val="16"/>
                <w:color w:val="auto"/>
              </w:rPr>
              <w:t>(0.06</w:t>
            </w:r>
            <w:r>
              <w:rPr>
                <w:rFonts w:ascii="Arial" w:cs="Arial" w:eastAsia="Arial" w:hAnsi="Arial"/>
                <w:sz w:val="29"/>
                <w:szCs w:val="29"/>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(0.19</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(0.06</w:t>
            </w:r>
          </w:p>
        </w:tc>
        <w:tc>
          <w:tcPr>
            <w:tcW w:w="2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9120" w:type="dxa"/>
            <w:vAlign w:val="bottom"/>
            <w:gridSpan w:val="3"/>
          </w:tcPr>
          <w:p>
            <w:pPr>
              <w:ind w:left="2380"/>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6"/>
          </w:tcPr>
          <w:p>
            <w:pPr>
              <w:jc w:val="right"/>
              <w:ind w:right="540"/>
              <w:spacing w:after="0"/>
              <w:rPr>
                <w:sz w:val="20"/>
                <w:szCs w:val="20"/>
                <w:color w:val="auto"/>
              </w:rPr>
            </w:pPr>
            <w:r>
              <w:rPr>
                <w:rFonts w:ascii="Arial" w:cs="Arial" w:eastAsia="Arial" w:hAnsi="Arial"/>
                <w:sz w:val="18"/>
                <w:szCs w:val="18"/>
                <w:color w:val="auto"/>
              </w:rPr>
              <w:t>For the Nine Months</w:t>
            </w:r>
          </w:p>
        </w:tc>
      </w:tr>
      <w:tr>
        <w:trPr>
          <w:trHeight w:val="237"/>
        </w:trPr>
        <w:tc>
          <w:tcPr>
            <w:tcW w:w="7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gridSpan w:val="6"/>
          </w:tcPr>
          <w:p>
            <w:pPr>
              <w:jc w:val="right"/>
              <w:ind w:right="520"/>
              <w:spacing w:after="0"/>
              <w:rPr>
                <w:sz w:val="20"/>
                <w:szCs w:val="20"/>
                <w:color w:val="auto"/>
              </w:rPr>
            </w:pPr>
            <w:r>
              <w:rPr>
                <w:rFonts w:ascii="Arial" w:cs="Arial" w:eastAsia="Arial" w:hAnsi="Arial"/>
                <w:sz w:val="18"/>
                <w:szCs w:val="18"/>
                <w:color w:val="auto"/>
                <w:w w:val="98"/>
              </w:rPr>
              <w:t>Ended September 30</w:t>
            </w:r>
          </w:p>
        </w:tc>
      </w:tr>
      <w:tr>
        <w:trPr>
          <w:trHeight w:val="237"/>
        </w:trPr>
        <w:tc>
          <w:tcPr>
            <w:tcW w:w="7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for the period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336,258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(1,866,970)</w:t>
            </w:r>
          </w:p>
        </w:tc>
      </w:tr>
      <w:tr>
        <w:trPr>
          <w:trHeight w:val="216"/>
        </w:trPr>
        <w:tc>
          <w:tcPr>
            <w:tcW w:w="7500" w:type="dxa"/>
            <w:vAlign w:val="bottom"/>
          </w:tcPr>
          <w:p>
            <w:pPr>
              <w:ind w:left="300"/>
              <w:spacing w:after="0"/>
              <w:rPr>
                <w:sz w:val="20"/>
                <w:szCs w:val="20"/>
                <w:color w:val="auto"/>
              </w:rPr>
            </w:pPr>
            <w:r>
              <w:rPr>
                <w:rFonts w:ascii="Arial" w:cs="Arial" w:eastAsia="Arial" w:hAnsi="Arial"/>
                <w:sz w:val="18"/>
                <w:szCs w:val="18"/>
                <w:color w:val="auto"/>
              </w:rPr>
              <w:t>Adjustments to reconcile net income(loss) to net cash used in operating activities: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163,418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212,918</w:t>
            </w:r>
          </w:p>
        </w:tc>
      </w:tr>
      <w:tr>
        <w:trPr>
          <w:trHeight w:val="216"/>
        </w:trPr>
        <w:tc>
          <w:tcPr>
            <w:tcW w:w="7500" w:type="dxa"/>
            <w:vAlign w:val="bottom"/>
          </w:tcPr>
          <w:p>
            <w:pPr>
              <w:ind w:left="600"/>
              <w:spacing w:after="0"/>
              <w:rPr>
                <w:sz w:val="20"/>
                <w:szCs w:val="20"/>
                <w:color w:val="auto"/>
              </w:rPr>
            </w:pPr>
            <w:r>
              <w:rPr>
                <w:rFonts w:ascii="Arial" w:cs="Arial" w:eastAsia="Arial" w:hAnsi="Arial"/>
                <w:sz w:val="18"/>
                <w:szCs w:val="18"/>
                <w:color w:val="auto"/>
              </w:rPr>
              <w:t>Stock and options issued for services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1,721,979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497,033</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(1,734,128)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355,644</w:t>
            </w:r>
          </w:p>
        </w:tc>
      </w:tr>
      <w:tr>
        <w:trPr>
          <w:trHeight w:val="216"/>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(454,486)</w:t>
            </w:r>
          </w:p>
        </w:tc>
      </w:tr>
      <w:tr>
        <w:trPr>
          <w:trHeight w:val="216"/>
        </w:trPr>
        <w:tc>
          <w:tcPr>
            <w:tcW w:w="75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(291,831)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26,544</w:t>
            </w:r>
          </w:p>
        </w:tc>
      </w:tr>
      <w:tr>
        <w:trPr>
          <w:trHeight w:val="216"/>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(414,722)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(744,526)</w:t>
            </w:r>
          </w:p>
        </w:tc>
      </w:tr>
      <w:tr>
        <w:trPr>
          <w:trHeight w:val="216"/>
        </w:trPr>
        <w:tc>
          <w:tcPr>
            <w:tcW w:w="750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(139,417)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146,291</w:t>
            </w:r>
          </w:p>
        </w:tc>
      </w:tr>
      <w:tr>
        <w:trPr>
          <w:trHeight w:val="250"/>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164,129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342,511</w:t>
            </w:r>
          </w:p>
        </w:tc>
      </w:tr>
      <w:tr>
        <w:trPr>
          <w:trHeight w:val="210"/>
        </w:trPr>
        <w:tc>
          <w:tcPr>
            <w:tcW w:w="75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13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(140,206</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(1,485,041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Web development and other intangible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(23,131)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(56,651)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(79,782)</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(29,310)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(117,168)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(146,478)</w:t>
      </w:r>
    </w:p>
    <w:p>
      <w:pPr>
        <w:spacing w:after="0" w:line="222" w:lineRule="exact"/>
        <w:rPr>
          <w:sz w:val="20"/>
          <w:szCs w:val="20"/>
          <w:color w:val="auto"/>
        </w:rPr>
      </w:pPr>
    </w:p>
    <w:p>
      <w:pPr>
        <w:sectPr>
          <w:pgSz w:w="11900" w:h="16838" w:orient="portrait"/>
          <w:cols w:equalWidth="0" w:num="3">
            <w:col w:w="8680" w:space="720"/>
            <w:col w:w="620" w:space="640"/>
            <w:col w:w="760"/>
          </w:cols>
          <w:pgMar w:left="240" w:top="904" w:right="239" w:bottom="1440" w:gutter="0" w:footer="0" w:header="0"/>
          <w:type w:val="continuous"/>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Net proceeds from issuance of common stock for cash</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8,620,417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 and stock payable</w:t>
            </w:r>
          </w:p>
        </w:tc>
        <w:tc>
          <w:tcPr>
            <w:tcW w:w="1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18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8,620,417</w:t>
            </w:r>
          </w:p>
        </w:tc>
        <w:tc>
          <w:tcPr>
            <w:tcW w:w="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(390,000</w:t>
            </w:r>
          </w:p>
        </w:tc>
        <w:tc>
          <w:tcPr>
            <w:tcW w:w="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8,400,429</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(2,021,519)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5,122,573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7,034,647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8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920" w:type="dxa"/>
            <w:vAlign w:val="bottom"/>
            <w:vMerge w:val="continue"/>
            <w:shd w:val="clear" w:color="auto" w:fill="CCEEFF"/>
          </w:tcPr>
          <w:p>
            <w:pPr>
              <w:spacing w:after="0"/>
              <w:rPr>
                <w:sz w:val="21"/>
                <w:szCs w:val="21"/>
                <w:color w:val="auto"/>
              </w:rPr>
            </w:pPr>
          </w:p>
        </w:tc>
        <w:tc>
          <w:tcPr>
            <w:tcW w:w="20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13,523,002</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5,013,128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920" w:type="dxa"/>
            <w:vAlign w:val="bottom"/>
          </w:tcPr>
          <w:p>
            <w:pPr>
              <w:ind w:left="320"/>
              <w:spacing w:after="0"/>
              <w:rPr>
                <w:sz w:val="20"/>
                <w:szCs w:val="20"/>
                <w:color w:val="auto"/>
              </w:rPr>
            </w:pPr>
            <w:r>
              <w:rPr>
                <w:rFonts w:ascii="Arial" w:cs="Arial" w:eastAsia="Arial" w:hAnsi="Arial"/>
                <w:sz w:val="18"/>
                <w:szCs w:val="18"/>
                <w:color w:val="auto"/>
              </w:rPr>
              <w:t>Cash paid for interest</w:t>
            </w:r>
          </w:p>
        </w:tc>
        <w:tc>
          <w:tcPr>
            <w:tcW w:w="20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top w:val="single" w:sz="8" w:color="CCEEFF"/>
              <w:bottom w:val="single" w:sz="8" w:color="CCEEFF"/>
            </w:tcBorders>
            <w:shd w:val="clear" w:color="auto" w:fill="CCEEFF"/>
          </w:tcPr>
          <w:p>
            <w:pPr>
              <w:ind w:left="320"/>
              <w:spacing w:after="0" w:line="190" w:lineRule="exact"/>
              <w:rPr>
                <w:sz w:val="20"/>
                <w:szCs w:val="20"/>
                <w:color w:val="auto"/>
              </w:rPr>
            </w:pPr>
            <w:r>
              <w:rPr>
                <w:rFonts w:ascii="Arial" w:cs="Arial" w:eastAsia="Arial" w:hAnsi="Arial"/>
                <w:sz w:val="18"/>
                <w:szCs w:val="18"/>
                <w:color w:val="auto"/>
              </w:rPr>
              <w:t>Cash paid for income taxes</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vMerge w:val="restart"/>
          </w:tcPr>
          <w:p>
            <w:pPr>
              <w:ind w:left="320"/>
              <w:spacing w:after="0"/>
              <w:rPr>
                <w:sz w:val="20"/>
                <w:szCs w:val="20"/>
                <w:color w:val="auto"/>
              </w:rPr>
            </w:pPr>
            <w:r>
              <w:rPr>
                <w:rFonts w:ascii="Arial" w:cs="Arial" w:eastAsia="Arial" w:hAnsi="Arial"/>
                <w:sz w:val="18"/>
                <w:szCs w:val="18"/>
                <w:color w:val="auto"/>
              </w:rPr>
              <w:t>Non-cash issuance of shares to WPP</w:t>
            </w:r>
          </w:p>
        </w:tc>
        <w:tc>
          <w:tcPr>
            <w:tcW w:w="20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447,000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220" w:lineRule="exact"/>
        <w:rPr>
          <w:sz w:val="20"/>
          <w:szCs w:val="20"/>
          <w:color w:val="auto"/>
        </w:rPr>
      </w:pPr>
    </w:p>
    <w:p>
      <w:pPr>
        <w:jc w:val="right"/>
        <w:ind w:right="44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2019-12-28T18:02:32Z</dcterms:created>
  <dcterms:modified xsi:type="dcterms:W3CDTF">2019-12-28T18:02:32Z</dcterms:modified>
</cp:coreProperties>
</file>