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Odence-Ford Marion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0"/>
        <w:spacing w:after="0" w:line="365" w:lineRule="auto"/>
        <w:rPr>
          <w:sz w:val="20"/>
          <w:szCs w:val="20"/>
          <w:color w:val="auto"/>
        </w:rPr>
      </w:pPr>
      <w:r>
        <w:rPr>
          <w:rFonts w:ascii="Times New Roman" w:cs="Times New Roman" w:eastAsia="Times New Roman" w:hAnsi="Times New Roman"/>
          <w:sz w:val="17"/>
          <w:szCs w:val="17"/>
          <w:color w:val="0000FF"/>
        </w:rPr>
        <w:t>C/O OPTIMIZERX CORPORATION 260 CHARLES STREET, SUITE 302</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OptimizeRx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OPRX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01/09/2024</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General Counsel and CCO</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01/09/2024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15.1877</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11,114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$15.01 to $15.41. The reporting person undertakes to provide to OptimizeRx Corporation, any security holder of OptimizeRx Corporation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Marion K. Odence-Ford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01/11/2024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5002"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2024-01-11T16:08:38Z</dcterms:created>
  <dcterms:modified xsi:type="dcterms:W3CDTF">2024-01-11T16:08:38Z</dcterms:modified>
</cp:coreProperties>
</file>